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bookmarkStart w:id="0" w:name="_GoBack"/>
      <w:bookmarkEnd w:id="0"/>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9AF12FB"/>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351</Words>
  <Characters>2001</Characters>
  <Lines>16</Lines>
  <Paragraphs>4</Paragraphs>
  <TotalTime>1</TotalTime>
  <ScaleCrop>false</ScaleCrop>
  <LinksUpToDate>false</LinksUpToDate>
  <CharactersWithSpaces>2348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帅</cp:lastModifiedBy>
  <dcterms:modified xsi:type="dcterms:W3CDTF">2021-04-30T02:49:32Z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D482EEB866BE4A87802550FCA1E0E65E</vt:lpwstr>
  </property>
</Properties>
</file>