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附件：</w:t>
      </w:r>
    </w:p>
    <w:p>
      <w:pPr>
        <w:tabs>
          <w:tab w:val="left" w:pos="0"/>
        </w:tabs>
        <w:ind w:right="-334" w:rightChars="-159"/>
        <w:jc w:val="center"/>
        <w:rPr>
          <w:rFonts w:eastAsia="黑体"/>
          <w:sz w:val="28"/>
        </w:rPr>
      </w:pPr>
      <w:bookmarkStart w:id="0" w:name="_GoBack"/>
      <w:r>
        <w:rPr>
          <w:rFonts w:hint="eastAsia" w:hAnsi="宋体" w:eastAsia="黑体"/>
          <w:bCs/>
          <w:sz w:val="28"/>
          <w:szCs w:val="28"/>
        </w:rPr>
        <w:t>数模电实验室招标采购设备数量及主要技术指标</w:t>
      </w:r>
    </w:p>
    <w:bookmarkEnd w:id="0"/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08"/>
        <w:gridCol w:w="1208"/>
        <w:gridCol w:w="411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编号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实验名称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主要设备名称</w:t>
            </w:r>
          </w:p>
        </w:tc>
        <w:tc>
          <w:tcPr>
            <w:tcW w:w="41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主要技术指标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数量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（台/套）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数模电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</w:t>
            </w:r>
          </w:p>
        </w:tc>
        <w:tc>
          <w:tcPr>
            <w:tcW w:w="120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示波器</w:t>
            </w:r>
          </w:p>
        </w:tc>
        <w:tc>
          <w:tcPr>
            <w:tcW w:w="4114" w:type="dxa"/>
            <w:vAlign w:val="center"/>
          </w:tcPr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带宽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:100MHz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2、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通道数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双通道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+1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个外触发通道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3、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实时采样率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单通道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1Gsa/s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，双通道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 xml:space="preserve">500Msa/s 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4、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存储深度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单通道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40K,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双通道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20K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5、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上升时间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&lt;3. 5ns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6、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输入阻抗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:1M</w:t>
            </w:r>
            <m:oMath>
              <m:r>
                <m:rPr>
                  <m:sty m:val="p"/>
                </m:rPr>
                <w:rPr>
                  <w:rFonts w:ascii="Cambria Math" w:hAnsi="Times New Roman" w:eastAsiaTheme="minorEastAsia"/>
                  <w:sz w:val="21"/>
                  <w:szCs w:val="21"/>
                </w:rPr>
                <m:t>Q</m:t>
              </m:r>
            </m:oMath>
            <w:r>
              <w:rPr>
                <w:rFonts w:ascii="Times New Roman" w:hAnsiTheme="minorEastAsia" w:eastAsiaTheme="minorEastAsia"/>
                <w:sz w:val="21"/>
                <w:szCs w:val="21"/>
              </w:rPr>
              <w:t>土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 xml:space="preserve">2%||16pF 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士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3pF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7、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时基范围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:2ns/div 50s/div</w:t>
            </w:r>
          </w:p>
          <w:p>
            <w:pPr>
              <w:pStyle w:val="2"/>
              <w:ind w:firstLine="525" w:firstLineChars="250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SCAN:100ms/div 50s/div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8、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垂直灵敏度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:2mV/div -5v/div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9、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垂直分辨率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:8bits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10、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触发源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:CH1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CH2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EXT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EXT/5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AC LINE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11、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触发方式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边沿、脉神、视频、斜率、交替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12、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数学运算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:+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-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x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Times New Roman" w:eastAsiaTheme="minorEastAsia"/>
                  <w:sz w:val="21"/>
                  <w:szCs w:val="21"/>
                </w:rPr>
                <m:t>÷</m:t>
              </m:r>
            </m:oMath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FFT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13、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数字滤波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高通、低通、带阻、带通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14、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最大输入电压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:400V (DC+AC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峰值、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1M2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输入阻抗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)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15、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内部存储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:2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组参考波形，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20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组设置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, 16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组波形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16、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外部存储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位图存储、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CSV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存储、波形存储、设置存储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16、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语言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中英文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17、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接口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:USBHost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USBDevice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 xml:space="preserve"> RS- 232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Pass/Fail out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18、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显示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:7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寸彩色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TFT-LCD</w:t>
            </w:r>
          </w:p>
          <w:p>
            <w:pPr>
              <w:pStyle w:val="2"/>
              <w:ind w:firstLine="210" w:firstLineChars="100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800(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水平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)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像素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x480 (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垂直像素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)</w:t>
            </w:r>
          </w:p>
          <w:p>
            <w:pPr>
              <w:pStyle w:val="2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Theme="minorEastAsia" w:eastAsiaTheme="minorEastAsia"/>
                <w:sz w:val="21"/>
                <w:szCs w:val="21"/>
              </w:rPr>
              <w:t>19、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电源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:AC110-240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45 -440Hz</w:t>
            </w:r>
            <w:r>
              <w:rPr>
                <w:rFonts w:ascii="Times New Roman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30VA Max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数模电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</w:t>
            </w:r>
          </w:p>
        </w:tc>
        <w:tc>
          <w:tcPr>
            <w:tcW w:w="120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函数信号发生器</w:t>
            </w:r>
          </w:p>
        </w:tc>
        <w:tc>
          <w:tcPr>
            <w:tcW w:w="4114" w:type="dxa"/>
            <w:vAlign w:val="center"/>
          </w:tcPr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1、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函数波形：正弦波，方波，三角波，脉冲波，锯齿波</w:t>
            </w: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2、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频率：</w:t>
            </w:r>
            <w:r>
              <w:rPr>
                <w:rFonts w:hint="eastAsia" w:ascii="Times New Roman" w:hAnsi="Arial" w:cs="Times New Roman"/>
                <w:color w:val="333333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1Hz-10MHz</w:t>
            </w: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3、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频率误差：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333333"/>
                  <w:szCs w:val="21"/>
                </w:rPr>
                <m:t>≤</m:t>
              </m:r>
            </m:oMath>
            <w:r>
              <w:rPr>
                <w:rFonts w:ascii="Times New Roman" w:hAnsi="Times New Roman" w:cs="Times New Roman"/>
                <w:color w:val="333333"/>
                <w:szCs w:val="21"/>
              </w:rPr>
              <w:t>±1%</w:t>
            </w: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4、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测幅误差：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333333"/>
                  <w:szCs w:val="21"/>
                </w:rPr>
                <m:t>≤</m:t>
              </m:r>
            </m:oMath>
            <w:r>
              <w:rPr>
                <w:rFonts w:ascii="Times New Roman" w:hAnsi="Times New Roman" w:cs="Times New Roman"/>
                <w:color w:val="333333"/>
                <w:szCs w:val="21"/>
              </w:rPr>
              <w:t>±5%</w:t>
            </w:r>
          </w:p>
          <w:p>
            <w:pPr>
              <w:spacing w:line="320" w:lineRule="exact"/>
              <w:rPr>
                <w:rFonts w:hint="eastAsia"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5、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幅度(最大) ：</w:t>
            </w:r>
            <w:r>
              <w:rPr>
                <w:rFonts w:hint="eastAsia" w:ascii="Times New Roman" w:hAnsi="Arial" w:cs="Times New Roman"/>
                <w:color w:val="333333"/>
                <w:szCs w:val="21"/>
              </w:rPr>
              <w:t>10Vp-p (50Ω负载) 20Vp-p(1MΩ负载)</w:t>
            </w:r>
          </w:p>
          <w:p>
            <w:pPr>
              <w:wordWrap w:val="0"/>
              <w:spacing w:line="360" w:lineRule="atLeast"/>
              <w:rPr>
                <w:rFonts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6、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功率：</w:t>
            </w:r>
            <m:oMath>
              <m:r>
                <m:rPr>
                  <m:sty m:val="p"/>
                </m:rPr>
                <w:rPr>
                  <w:rFonts w:ascii="Cambria Math" w:hAnsi="Arial" w:cs="Times New Roman"/>
                  <w:color w:val="333333"/>
                  <w:szCs w:val="21"/>
                </w:rPr>
                <m:t>≥</m:t>
              </m:r>
            </m:oMath>
            <w:r>
              <w:rPr>
                <w:rFonts w:ascii="Times New Roman" w:hAnsi="Arial" w:cs="Times New Roman"/>
                <w:color w:val="333333"/>
                <w:szCs w:val="21"/>
              </w:rPr>
              <w:t>2Wp-p</w:t>
            </w:r>
          </w:p>
          <w:p>
            <w:pPr>
              <w:spacing w:line="320" w:lineRule="exact"/>
              <w:rPr>
                <w:rFonts w:hint="eastAsia"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7、输出信号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衰减：</w:t>
            </w:r>
            <w:r>
              <w:rPr>
                <w:rFonts w:hint="eastAsia" w:ascii="Times New Roman" w:hAnsi="Arial" w:cs="Times New Roman"/>
                <w:color w:val="333333"/>
                <w:szCs w:val="21"/>
              </w:rPr>
              <w:t>0dB/20dB/40dB/60dB</w:t>
            </w:r>
          </w:p>
          <w:p>
            <w:pPr>
              <w:wordWrap w:val="0"/>
              <w:spacing w:line="360" w:lineRule="atLeast"/>
              <w:rPr>
                <w:rFonts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8、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直流电平：-10V~+10V</w:t>
            </w:r>
          </w:p>
          <w:p>
            <w:pPr>
              <w:wordWrap w:val="0"/>
              <w:spacing w:line="360" w:lineRule="atLeast"/>
              <w:rPr>
                <w:rFonts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9、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显示：幅度，频率</w:t>
            </w:r>
          </w:p>
          <w:p>
            <w:pPr>
              <w:wordWrap w:val="0"/>
              <w:spacing w:line="360" w:lineRule="atLeast"/>
              <w:rPr>
                <w:rFonts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10、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占空比：10%-90%</w:t>
            </w:r>
          </w:p>
          <w:p>
            <w:pPr>
              <w:wordWrap w:val="0"/>
              <w:spacing w:line="360" w:lineRule="atLeast"/>
              <w:rPr>
                <w:rFonts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11、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正弦失真：</w:t>
            </w:r>
            <m:oMath>
              <m:r>
                <m:rPr>
                  <m:sty m:val="p"/>
                </m:rPr>
                <w:rPr>
                  <w:rFonts w:ascii="Cambria Math" w:hAnsi="Arial" w:cs="Times New Roman"/>
                  <w:color w:val="333333"/>
                  <w:szCs w:val="21"/>
                </w:rPr>
                <m:t>≤</m:t>
              </m:r>
            </m:oMath>
            <w:r>
              <w:rPr>
                <w:rFonts w:ascii="Times New Roman" w:hAnsi="Arial" w:cs="Times New Roman"/>
                <w:color w:val="333333"/>
                <w:szCs w:val="21"/>
              </w:rPr>
              <w:t>2%</w:t>
            </w:r>
          </w:p>
          <w:p>
            <w:pPr>
              <w:wordWrap w:val="0"/>
              <w:spacing w:line="360" w:lineRule="atLeast"/>
              <w:rPr>
                <w:rFonts w:ascii="Times New Roman" w:hAnsi="Arial" w:cs="Times New Roman"/>
                <w:color w:val="333333"/>
                <w:szCs w:val="21"/>
              </w:rPr>
            </w:pPr>
            <w:r>
              <w:rPr>
                <w:rFonts w:hint="eastAsia" w:ascii="Times New Roman" w:hAnsi="Arial" w:cs="Times New Roman"/>
                <w:color w:val="333333"/>
                <w:szCs w:val="21"/>
              </w:rPr>
              <w:t>12、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上升时间：</w:t>
            </w:r>
            <m:oMath>
              <m:r>
                <m:rPr>
                  <m:sty m:val="p"/>
                </m:rPr>
                <w:rPr>
                  <w:rFonts w:ascii="Cambria Math" w:hAnsi="Arial" w:cs="Times New Roman"/>
                  <w:color w:val="333333"/>
                  <w:szCs w:val="21"/>
                </w:rPr>
                <m:t>≤</m:t>
              </m:r>
            </m:oMath>
            <w:r>
              <w:rPr>
                <w:rFonts w:ascii="Times New Roman" w:hAnsi="Arial" w:cs="Times New Roman"/>
                <w:color w:val="333333"/>
                <w:szCs w:val="21"/>
              </w:rPr>
              <w:t>35ns</w:t>
            </w: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13、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VCF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：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100:01:00</w:t>
            </w: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14、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LCD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显示：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位频率显示，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</w:p>
          <w:p>
            <w:pPr>
              <w:wordWrap w:val="0"/>
              <w:spacing w:line="360" w:lineRule="atLeast"/>
              <w:ind w:firstLine="1470" w:firstLineChars="700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>
              <w:rPr>
                <w:rFonts w:ascii="Times New Roman" w:hAnsi="Arial" w:cs="Times New Roman"/>
                <w:color w:val="333333"/>
                <w:szCs w:val="21"/>
              </w:rPr>
              <w:t>位幅度显示</w:t>
            </w:r>
          </w:p>
          <w:p>
            <w:pPr>
              <w:wordWrap w:val="0"/>
              <w:spacing w:line="360" w:lineRule="atLeast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cs="Times New Roman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数模电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万用表</w:t>
            </w:r>
          </w:p>
        </w:tc>
        <w:tc>
          <w:tcPr>
            <w:tcW w:w="4114" w:type="dxa"/>
            <w:vAlign w:val="center"/>
          </w:tcPr>
          <w:p>
            <w:pPr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1、手持式四位半显示</w:t>
            </w:r>
          </w:p>
          <w:p>
            <w:pPr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2、直流电压量程 200mV/2V/20V/200V/1000V</w:t>
            </w:r>
          </w:p>
          <w:p>
            <w:pPr>
              <w:wordWrap w:val="0"/>
              <w:spacing w:line="360" w:lineRule="atLeast"/>
              <w:ind w:firstLine="105" w:firstLineChars="50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直流电压精度 ±（0.1%+8）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3、交流电压量程 2V/20V/200V/1000V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　　交流电压精度 ±（0.8%+40）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4、直流电</w:t>
            </w:r>
            <w:r>
              <w:fldChar w:fldCharType="begin"/>
            </w:r>
            <w:r>
              <w:instrText xml:space="preserve"> HYPERLINK "http://www.ehsy.com/category-15810"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流量</w:t>
            </w: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程 200μA/2000μA/20mA/200mA/10A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　　直流电流精度 ±（0.2%+20）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5、交流电流量程 200μA/2000μA/20mA/200mA/10A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　　交流电流精度 ±（1%+15）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6、电阻量程 200ω/2kω/20kω/200kω/2Mω/20Mω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　　电阻精度 ±（0.5%+20）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7、电容量程 20nF/200nF/2μF/20μF/200μF/2mF/20mF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　　电容精度 ±（1.5%+20）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 xml:space="preserve">8、　二极管测试 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 xml:space="preserve">9、　通断蜂鸣 </w:t>
            </w:r>
          </w:p>
          <w:p>
            <w:pPr>
              <w:wordWrap w:val="0"/>
              <w:spacing w:line="360" w:lineRule="atLeast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cs="Times New Roman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数模电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数字电路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实验箱</w:t>
            </w:r>
          </w:p>
        </w:tc>
        <w:tc>
          <w:tcPr>
            <w:tcW w:w="411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、电源：交流输入：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220V±10% 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50Hz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固定直流输：出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5V/2A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-5V/0.5A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±12V/0.5A 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、；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可调直流输出：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+1.2V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+27V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/0.5A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-1.2V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-12V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/0.5A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、手动单脉冲电路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组：每组可同时输出正负两个脉冲，脉冲幅值为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TTL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电平。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、连续脉冲源：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1MHz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、固定频率脉冲源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路，输出为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TTL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电平：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1KHz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10KHz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100KHz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250KHz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500KHz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1MHz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、时序脉冲发生电路及启停控制电路。可产生四路脉冲信号，脉冲周期与输入的时钟信号相同，四个脉冲之间依次相差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个输入时钟周期。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、六位高精度数字频率计，测量范围：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0-9.9999MHz 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，误差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&lt;1Hz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、十六位逻辑电平输入开关：可输入低电平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‘0’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、高电平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‘1’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（为正逻辑）。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、十六位逻辑电平指示灯：指示灯亮表示高电平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‘1’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，指示灯灭表示低电平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‘0’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、数码管显示：四位由七段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数码管组成的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BCD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码译码显示电路，及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位七段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LED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数码管。供数字钟、日历等实验显示用。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、扬声器及驱动电路。可用作时钟报时、报警及音乐演奏的发声装置。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BCD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码开关二组。提供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BCD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输入。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、逻辑笔，红色：高电平；绿色：低电平；橙色：高阻；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、可变电位器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只，阻值分别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1K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50K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100K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680K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、开放实验区，用于扩展实验、课程设计使用。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）提供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芯锁紧插座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只，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芯锁紧插座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只，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芯锁紧插座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只，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芯锁紧插座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只，可插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芯～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芯的各种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IC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。（也可用高可靠的圆脚集成块插座）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）分立元件接插区，可接插电阻、电容、稳压管、二极管、三极管等元器件，方便扩展。</w:t>
            </w:r>
          </w:p>
          <w:p>
            <w:pPr>
              <w:pStyle w:val="2"/>
              <w:spacing w:beforeAutospacing="0" w:afterAutospacing="0" w:line="276" w:lineRule="auto"/>
              <w:rPr>
                <w:rFonts w:ascii="Times New Roman" w:hAnsi="Times New Roman" w:eastAsia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cs="Times New Roman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数模电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模拟电路实验箱</w:t>
            </w:r>
          </w:p>
        </w:tc>
        <w:tc>
          <w:tcPr>
            <w:tcW w:w="411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shd w:val="clear" w:color="auto" w:fill="FBFBFB"/>
              </w:rPr>
              <w:t>1</w:t>
            </w:r>
            <w:r>
              <w:rPr>
                <w:rFonts w:ascii="Times New Roman" w:cs="Times New Roman"/>
                <w:bCs/>
                <w:color w:val="000000"/>
                <w:szCs w:val="21"/>
                <w:shd w:val="clear" w:color="auto" w:fill="FBFBFB"/>
              </w:rPr>
              <w:t>、工作电源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）输入：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AC220V±10%,50HZ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）输出：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(1)ACV 0V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和带中心抽头双路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7.5V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低压交流电源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(AC50Hz)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。有短路保护功能。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(2)DCV ±1.5V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±15V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连续可调，有短路保护自动恢复功能。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(3)DCV ±12V/0.5A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5V/0.5A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，有短路保护自动恢复功能。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3）完善的电源保护电路：过流保护、过压保护、接反保护。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2、信号源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直流信号源：双路-5V～+5V, -0.5V～+0.5V连续可调。</w:t>
            </w:r>
          </w:p>
          <w:p>
            <w:pPr>
              <w:widowControl/>
              <w:spacing w:line="360" w:lineRule="atLeast"/>
              <w:jc w:val="left"/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3、函数发生器：最高输频率达到1MHz以上。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输出频率：10Hz～1MHz，分四档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可输出 方波： 0～20V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三角波：0～15V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正弦波：0～10V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4、数字频率计（0～300KHz）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5、数字直流电压表（0～30V）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BFBFB"/>
              </w:rPr>
              <w:t>6、机箱：坚固型铝合金框架，厚实的 ABS 塑料包角。采用高可靠自锁紧防转叠插座作为实验连接点。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cs="Times New Roman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数模电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实验室</w:t>
            </w:r>
          </w:p>
        </w:tc>
        <w:tc>
          <w:tcPr>
            <w:tcW w:w="1208" w:type="dxa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指针式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直流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毫</w:t>
            </w:r>
            <w:r>
              <w:rPr>
                <w:rFonts w:hint="eastAsia" w:asciiTheme="minorEastAsia" w:hAnsiTheme="minorEastAsia"/>
                <w:szCs w:val="21"/>
              </w:rPr>
              <w:t>安表</w:t>
            </w:r>
          </w:p>
        </w:tc>
        <w:tc>
          <w:tcPr>
            <w:tcW w:w="4114" w:type="dxa"/>
            <w:vAlign w:val="center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类型：磁电系直流毫安表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量程：0~200</w:t>
            </w:r>
            <w:r>
              <w:rPr>
                <w:rFonts w:cs="宋体" w:asciiTheme="minorEastAsia" w:hAnsiTheme="minorEastAsia"/>
                <w:szCs w:val="21"/>
              </w:rPr>
              <w:t>Ma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精度等级：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%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过载倍率：100%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  <w:lang w:val="en-US" w:eastAsia="zh-CN"/>
              </w:rPr>
              <w:t>25个</w:t>
            </w:r>
          </w:p>
        </w:tc>
      </w:tr>
    </w:tbl>
    <w:p>
      <w:pPr>
        <w:tabs>
          <w:tab w:val="left" w:pos="1020"/>
        </w:tabs>
        <w:spacing w:line="397" w:lineRule="auto"/>
        <w:ind w:right="120"/>
        <w:rPr>
          <w:rFonts w:ascii="宋体" w:hAnsi="宋体"/>
          <w:b/>
          <w:bCs/>
          <w:sz w:val="32"/>
          <w:szCs w:val="32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2021-07-13T08:07:46Z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4ECAD37883074BBC914476C9FE2C9A55</vt:lpwstr>
  </property>
</Properties>
</file>