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黑体" w:hAnsi="黑体" w:eastAsia="黑体"/>
          <w:sz w:val="32"/>
          <w:szCs w:val="32"/>
        </w:rPr>
      </w:pPr>
      <w:r>
        <w:rPr>
          <w:rFonts w:hint="eastAsia" w:ascii="黑体" w:hAnsi="黑体" w:eastAsia="黑体"/>
          <w:sz w:val="32"/>
          <w:szCs w:val="32"/>
        </w:rPr>
        <w:t>附件1</w:t>
      </w:r>
    </w:p>
    <w:p>
      <w:pPr>
        <w:spacing w:line="540" w:lineRule="exact"/>
        <w:jc w:val="center"/>
        <w:rPr>
          <w:rFonts w:ascii="方正小标宋简体" w:hAnsi="方正小标宋简体" w:eastAsia="方正小标宋简体" w:cs="方正小标宋简体"/>
          <w:sz w:val="44"/>
          <w:szCs w:val="44"/>
        </w:rPr>
      </w:pPr>
    </w:p>
    <w:p>
      <w:pPr>
        <w:spacing w:line="54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安徽省专业技术人员继续教育管理平台</w:t>
      </w:r>
    </w:p>
    <w:p>
      <w:pPr>
        <w:spacing w:line="54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学员操作指南</w:t>
      </w:r>
    </w:p>
    <w:p>
      <w:pPr>
        <w:spacing w:line="520" w:lineRule="exact"/>
        <w:rPr>
          <w:rFonts w:ascii="仿宋" w:hAnsi="仿宋" w:eastAsia="仿宋" w:cs="黑体"/>
          <w:color w:val="FF0000"/>
          <w:sz w:val="24"/>
          <w:szCs w:val="24"/>
        </w:rPr>
      </w:pPr>
    </w:p>
    <w:p>
      <w:pPr>
        <w:spacing w:line="520" w:lineRule="exact"/>
        <w:rPr>
          <w:rFonts w:ascii="仿宋_GB2312" w:hAnsi="仿宋" w:eastAsia="仿宋_GB2312" w:cs="宋体"/>
          <w:b/>
          <w:bCs/>
          <w:color w:val="FF0000"/>
          <w:sz w:val="30"/>
          <w:szCs w:val="30"/>
        </w:rPr>
      </w:pPr>
      <w:r>
        <w:rPr>
          <w:rFonts w:hint="eastAsia" w:ascii="仿宋_GB2312" w:hAnsi="仿宋" w:eastAsia="仿宋_GB2312" w:cs="宋体"/>
          <w:b/>
          <w:bCs/>
          <w:color w:val="FF0000"/>
          <w:sz w:val="30"/>
          <w:szCs w:val="30"/>
        </w:rPr>
        <w:t>推荐使用360安全浏览器或谷歌浏览器打开网站</w:t>
      </w:r>
    </w:p>
    <w:p>
      <w:pPr>
        <w:spacing w:line="520" w:lineRule="exact"/>
        <w:rPr>
          <w:rFonts w:ascii="仿宋_GB2312" w:hAnsi="仿宋" w:eastAsia="仿宋_GB2312" w:cs="宋体"/>
          <w:sz w:val="30"/>
          <w:szCs w:val="30"/>
        </w:rPr>
      </w:pPr>
      <w:r>
        <w:rPr>
          <w:rFonts w:hint="eastAsia" w:ascii="仿宋_GB2312" w:hAnsi="仿宋" w:eastAsia="仿宋_GB2312" w:cs="宋体"/>
          <w:b/>
          <w:bCs/>
          <w:color w:val="0000FF"/>
          <w:sz w:val="30"/>
          <w:szCs w:val="30"/>
        </w:rPr>
        <w:t xml:space="preserve">    报名流程：</w:t>
      </w:r>
      <w:r>
        <w:rPr>
          <w:rFonts w:hint="eastAsia" w:ascii="仿宋_GB2312" w:hAnsi="仿宋" w:eastAsia="仿宋_GB2312" w:cs="宋体"/>
          <w:sz w:val="30"/>
          <w:szCs w:val="30"/>
        </w:rPr>
        <w:t>管理平台登录——管理平台报名——培训平台缴费，报名成功</w:t>
      </w:r>
    </w:p>
    <w:p>
      <w:pPr>
        <w:spacing w:line="520" w:lineRule="exact"/>
        <w:rPr>
          <w:rFonts w:ascii="仿宋_GB2312" w:hAnsi="仿宋" w:eastAsia="仿宋_GB2312"/>
          <w:sz w:val="30"/>
          <w:szCs w:val="30"/>
        </w:rPr>
      </w:pPr>
      <w:r>
        <w:rPr>
          <w:rFonts w:hint="eastAsia" w:ascii="仿宋_GB2312" w:hAnsi="仿宋" w:eastAsia="仿宋_GB2312" w:cs="宋体"/>
          <w:b/>
          <w:bCs/>
          <w:color w:val="0000FF"/>
          <w:sz w:val="30"/>
          <w:szCs w:val="30"/>
        </w:rPr>
        <w:t xml:space="preserve">    学习流程：</w:t>
      </w:r>
      <w:r>
        <w:rPr>
          <w:rFonts w:hint="eastAsia" w:ascii="仿宋_GB2312" w:hAnsi="仿宋" w:eastAsia="仿宋_GB2312" w:cs="宋体"/>
          <w:sz w:val="30"/>
          <w:szCs w:val="30"/>
        </w:rPr>
        <w:t>登录管理平台选择已报名的课程去学习，或者直接登录培训平台——学习考试完成——管理平台打印电子证书</w:t>
      </w:r>
    </w:p>
    <w:p>
      <w:pPr>
        <w:spacing w:line="520" w:lineRule="exact"/>
        <w:ind w:firstLine="594" w:firstLineChars="198"/>
        <w:outlineLvl w:val="0"/>
        <w:rPr>
          <w:rFonts w:ascii="黑体" w:hAnsi="黑体" w:eastAsia="黑体" w:cs="宋体"/>
          <w:bCs/>
          <w:sz w:val="30"/>
          <w:szCs w:val="30"/>
        </w:rPr>
      </w:pPr>
      <w:r>
        <w:rPr>
          <w:rFonts w:hint="eastAsia" w:ascii="黑体" w:hAnsi="黑体" w:eastAsia="黑体" w:cs="宋体"/>
          <w:bCs/>
          <w:sz w:val="30"/>
          <w:szCs w:val="30"/>
        </w:rPr>
        <w:t>一、登录</w:t>
      </w:r>
    </w:p>
    <w:p>
      <w:pPr>
        <w:spacing w:line="520" w:lineRule="exact"/>
        <w:ind w:firstLine="600" w:firstLineChars="200"/>
        <w:rPr>
          <w:rFonts w:ascii="仿宋_GB2312" w:hAnsi="仿宋" w:eastAsia="仿宋_GB2312" w:cs="宋体"/>
          <w:sz w:val="30"/>
          <w:szCs w:val="30"/>
        </w:rPr>
      </w:pPr>
      <w:r>
        <w:rPr>
          <w:rFonts w:hint="eastAsia" w:ascii="仿宋_GB2312" w:hAnsi="仿宋" w:eastAsia="仿宋_GB2312" w:cs="宋体"/>
          <w:sz w:val="30"/>
          <w:szCs w:val="30"/>
        </w:rPr>
        <w:t>打</w:t>
      </w:r>
      <w:r>
        <w:rPr>
          <w:rFonts w:hint="eastAsia" w:ascii="仿宋_GB2312" w:hAnsi="仿宋" w:eastAsia="仿宋_GB2312" w:cs="宋体"/>
          <w:spacing w:val="-2"/>
          <w:sz w:val="30"/>
          <w:szCs w:val="30"/>
        </w:rPr>
        <w:t>开安徽省人力资源和社会保障厅官网，点击网站左侧“在线办事”栏目，或直接打开网上办事大厅（</w:t>
      </w:r>
      <w:bookmarkStart w:id="0" w:name="_Hlk70329494"/>
      <w:r>
        <w:rPr>
          <w:rFonts w:hint="eastAsia" w:ascii="仿宋_GB2312" w:hAnsi="仿宋" w:eastAsia="仿宋_GB2312" w:cs="宋体"/>
          <w:spacing w:val="-2"/>
          <w:sz w:val="30"/>
          <w:szCs w:val="30"/>
        </w:rPr>
        <w:t>http://hrss.ah.gov.cn/ggfwwt</w:t>
      </w:r>
      <w:bookmarkEnd w:id="0"/>
      <w:r>
        <w:rPr>
          <w:rFonts w:hint="eastAsia" w:ascii="仿宋_GB2312" w:hAnsi="仿宋" w:eastAsia="仿宋_GB2312" w:cs="宋体"/>
          <w:spacing w:val="-2"/>
          <w:sz w:val="30"/>
          <w:szCs w:val="30"/>
        </w:rPr>
        <w:t>），</w:t>
      </w:r>
      <w:r>
        <w:rPr>
          <w:rFonts w:hint="eastAsia" w:ascii="仿宋_GB2312" w:hAnsi="仿宋" w:eastAsia="仿宋_GB2312" w:cs="宋体"/>
          <w:sz w:val="30"/>
          <w:szCs w:val="30"/>
        </w:rPr>
        <w:t>从“专业技术人员综合服务——继续教育官方入口”进入继续教育管理平台。如图所示：</w:t>
      </w:r>
    </w:p>
    <w:p>
      <w:pPr>
        <w:spacing w:line="360" w:lineRule="auto"/>
        <w:rPr>
          <w:rFonts w:ascii="仿宋" w:hAnsi="仿宋" w:eastAsia="仿宋" w:cs="宋体"/>
          <w:sz w:val="24"/>
          <w:szCs w:val="24"/>
        </w:rPr>
      </w:pPr>
      <w:r>
        <w:drawing>
          <wp:inline distT="0" distB="0" distL="114300" distR="114300">
            <wp:extent cx="5274310" cy="3094990"/>
            <wp:effectExtent l="0" t="0" r="2540" b="1016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6"/>
                    <a:stretch>
                      <a:fillRect/>
                    </a:stretch>
                  </pic:blipFill>
                  <pic:spPr>
                    <a:xfrm>
                      <a:off x="0" y="0"/>
                      <a:ext cx="5274310" cy="3611245"/>
                    </a:xfrm>
                    <a:prstGeom prst="rect">
                      <a:avLst/>
                    </a:prstGeom>
                    <a:noFill/>
                    <a:ln w="9525">
                      <a:noFill/>
                    </a:ln>
                    <a:effectLst/>
                  </pic:spPr>
                </pic:pic>
              </a:graphicData>
            </a:graphic>
          </wp:inline>
        </w:drawing>
      </w:r>
    </w:p>
    <w:p>
      <w:pPr>
        <w:spacing w:line="520" w:lineRule="exact"/>
        <w:rPr>
          <w:rFonts w:ascii="仿宋_GB2312" w:hAnsi="仿宋" w:eastAsia="仿宋_GB2312" w:cs="宋体"/>
          <w:sz w:val="30"/>
          <w:szCs w:val="30"/>
        </w:rPr>
      </w:pPr>
      <w:r>
        <w:rPr>
          <w:rFonts w:hint="eastAsia" w:ascii="仿宋_GB2312" w:hAnsi="仿宋" w:eastAsia="仿宋_GB2312" w:cs="宋体"/>
          <w:sz w:val="30"/>
          <w:szCs w:val="30"/>
        </w:rPr>
        <w:t>继续教育管理平台登录需使用安徽政务服务网账号。学员点击管理平台首页按钮“</w:t>
      </w:r>
      <w:r>
        <w:rPr>
          <w:rFonts w:hint="eastAsia" w:ascii="仿宋_GB2312" w:hAnsi="仿宋" w:eastAsia="仿宋_GB2312" w:cs="宋体"/>
          <w:b/>
          <w:bCs/>
          <w:color w:val="0000FF"/>
          <w:sz w:val="30"/>
          <w:szCs w:val="30"/>
        </w:rPr>
        <w:t>点击前往安徽政务服务网</w:t>
      </w:r>
      <w:r>
        <w:rPr>
          <w:rFonts w:hint="eastAsia" w:ascii="仿宋_GB2312" w:hAnsi="仿宋" w:eastAsia="仿宋_GB2312" w:cs="宋体"/>
          <w:sz w:val="30"/>
          <w:szCs w:val="30"/>
        </w:rPr>
        <w:t>”，按照安徽政务服务网提示完成登录，登录支持政务网账号密码登录和支付宝扫码授权登录。没有政务网账号的学员请按照政务网提示完成注册与登录。如图所示：</w:t>
      </w:r>
    </w:p>
    <w:p>
      <w:pPr>
        <w:jc w:val="center"/>
        <w:rPr>
          <w:rFonts w:ascii="仿宋" w:hAnsi="仿宋" w:eastAsia="仿宋"/>
          <w:sz w:val="24"/>
          <w:szCs w:val="24"/>
        </w:rPr>
      </w:pPr>
      <w:r>
        <w:rPr>
          <w:rFonts w:ascii="仿宋" w:hAnsi="仿宋" w:eastAsia="仿宋"/>
          <w:sz w:val="24"/>
          <w:szCs w:val="24"/>
        </w:rPr>
        <w:drawing>
          <wp:inline distT="0" distB="0" distL="114300" distR="114300">
            <wp:extent cx="5262245" cy="2957195"/>
            <wp:effectExtent l="0" t="0" r="14605" b="14605"/>
            <wp:docPr id="3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7"/>
                    <pic:cNvPicPr>
                      <a:picLocks noChangeAspect="1"/>
                    </pic:cNvPicPr>
                  </pic:nvPicPr>
                  <pic:blipFill>
                    <a:blip r:embed="rId7"/>
                    <a:stretch>
                      <a:fillRect/>
                    </a:stretch>
                  </pic:blipFill>
                  <pic:spPr>
                    <a:xfrm>
                      <a:off x="0" y="0"/>
                      <a:ext cx="5262245" cy="2957195"/>
                    </a:xfrm>
                    <a:prstGeom prst="rect">
                      <a:avLst/>
                    </a:prstGeom>
                    <a:noFill/>
                    <a:ln w="9525">
                      <a:noFill/>
                    </a:ln>
                    <a:effectLst/>
                  </pic:spPr>
                </pic:pic>
              </a:graphicData>
            </a:graphic>
          </wp:inline>
        </w:drawing>
      </w:r>
    </w:p>
    <w:p>
      <w:pPr>
        <w:jc w:val="left"/>
        <w:rPr>
          <w:rFonts w:ascii="仿宋" w:hAnsi="仿宋" w:eastAsia="仿宋"/>
          <w:sz w:val="24"/>
          <w:szCs w:val="24"/>
        </w:rPr>
      </w:pPr>
      <w:r>
        <w:rPr>
          <w:rFonts w:ascii="仿宋" w:hAnsi="仿宋" w:eastAsia="仿宋"/>
          <w:sz w:val="24"/>
          <w:szCs w:val="24"/>
        </w:rPr>
        <w:drawing>
          <wp:inline distT="0" distB="0" distL="114300" distR="114300">
            <wp:extent cx="5673725" cy="2254885"/>
            <wp:effectExtent l="0" t="0" r="3175" b="12065"/>
            <wp:docPr id="3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8"/>
                    <pic:cNvPicPr>
                      <a:picLocks noChangeAspect="1"/>
                    </pic:cNvPicPr>
                  </pic:nvPicPr>
                  <pic:blipFill>
                    <a:blip r:embed="rId8"/>
                    <a:stretch>
                      <a:fillRect/>
                    </a:stretch>
                  </pic:blipFill>
                  <pic:spPr>
                    <a:xfrm>
                      <a:off x="0" y="0"/>
                      <a:ext cx="5673725" cy="2254885"/>
                    </a:xfrm>
                    <a:prstGeom prst="rect">
                      <a:avLst/>
                    </a:prstGeom>
                    <a:noFill/>
                    <a:ln w="9525">
                      <a:noFill/>
                    </a:ln>
                    <a:effectLst/>
                  </pic:spPr>
                </pic:pic>
              </a:graphicData>
            </a:graphic>
          </wp:inline>
        </w:drawing>
      </w:r>
    </w:p>
    <w:p>
      <w:pPr>
        <w:jc w:val="left"/>
        <w:rPr>
          <w:rFonts w:ascii="仿宋" w:hAnsi="仿宋" w:eastAsia="仿宋"/>
          <w:sz w:val="24"/>
          <w:szCs w:val="24"/>
        </w:rPr>
      </w:pPr>
    </w:p>
    <w:p>
      <w:pPr>
        <w:spacing w:line="520" w:lineRule="exact"/>
        <w:ind w:firstLine="600" w:firstLineChars="200"/>
        <w:rPr>
          <w:rFonts w:ascii="仿宋_GB2312" w:hAnsi="仿宋" w:eastAsia="仿宋_GB2312" w:cs="宋体"/>
          <w:sz w:val="30"/>
          <w:szCs w:val="30"/>
        </w:rPr>
      </w:pPr>
      <w:r>
        <w:rPr>
          <w:rFonts w:hint="eastAsia" w:ascii="仿宋_GB2312" w:hAnsi="仿宋" w:eastAsia="仿宋_GB2312" w:cs="宋体"/>
          <w:sz w:val="30"/>
          <w:szCs w:val="30"/>
        </w:rPr>
        <w:t>学员通过管理平台在“安徽政务服务网”登录成功后跳转至安徽省专业技术人员继续教育管理平台。</w:t>
      </w:r>
    </w:p>
    <w:p>
      <w:pPr>
        <w:spacing w:line="520" w:lineRule="exact"/>
        <w:ind w:firstLine="600" w:firstLineChars="200"/>
        <w:rPr>
          <w:rFonts w:ascii="仿宋_GB2312" w:hAnsi="仿宋" w:eastAsia="仿宋_GB2312" w:cs="宋体"/>
          <w:color w:val="0000FF"/>
          <w:sz w:val="30"/>
          <w:szCs w:val="30"/>
        </w:rPr>
      </w:pPr>
      <w:r>
        <w:rPr>
          <w:rFonts w:hint="eastAsia" w:ascii="仿宋_GB2312" w:hAnsi="仿宋" w:eastAsia="仿宋_GB2312" w:cs="宋体"/>
          <w:color w:val="0000FF"/>
          <w:sz w:val="30"/>
          <w:szCs w:val="30"/>
        </w:rPr>
        <w:t>如不能正常跳转，请在安徽政务服务网登录个人用户后，重新打开网上办事大厅（http://hrss.ah.gov.cn/ggfwwt），点击“继续教育官方入口”打开继续教育管理平台，点击按钮“点击前往安徽政务服务网”即可自动登录。</w:t>
      </w:r>
    </w:p>
    <w:p>
      <w:pPr>
        <w:spacing w:line="520" w:lineRule="exact"/>
        <w:ind w:firstLine="600" w:firstLineChars="200"/>
        <w:rPr>
          <w:rFonts w:ascii="黑体" w:hAnsi="黑体" w:eastAsia="黑体" w:cs="宋体"/>
          <w:bCs/>
          <w:color w:val="0000FF"/>
          <w:sz w:val="30"/>
          <w:szCs w:val="30"/>
        </w:rPr>
      </w:pPr>
      <w:r>
        <w:rPr>
          <w:rFonts w:hint="eastAsia" w:ascii="黑体" w:hAnsi="黑体" w:eastAsia="黑体" w:cs="宋体"/>
          <w:bCs/>
          <w:color w:val="0000FF"/>
          <w:sz w:val="30"/>
          <w:szCs w:val="30"/>
        </w:rPr>
        <w:t>二、</w:t>
      </w:r>
      <w:r>
        <w:rPr>
          <w:rFonts w:hint="eastAsia" w:ascii="黑体" w:hAnsi="黑体" w:eastAsia="黑体" w:cs="宋体"/>
          <w:bCs/>
          <w:sz w:val="30"/>
          <w:szCs w:val="30"/>
        </w:rPr>
        <w:t>学员中心</w:t>
      </w:r>
    </w:p>
    <w:p>
      <w:pPr>
        <w:spacing w:line="520" w:lineRule="exact"/>
        <w:ind w:firstLine="600" w:firstLineChars="200"/>
        <w:rPr>
          <w:rFonts w:ascii="仿宋_GB2312" w:hAnsi="仿宋" w:eastAsia="仿宋_GB2312" w:cs="宋体"/>
          <w:sz w:val="30"/>
          <w:szCs w:val="30"/>
        </w:rPr>
      </w:pPr>
      <w:r>
        <w:rPr>
          <w:rFonts w:hint="eastAsia" w:ascii="仿宋_GB2312" w:hAnsi="仿宋" w:eastAsia="仿宋_GB2312" w:cs="宋体"/>
          <w:sz w:val="30"/>
          <w:szCs w:val="30"/>
        </w:rPr>
        <w:t>学员可在继续教育管理平台进行公需课专题的报名和查看下载档案证书等操作。</w:t>
      </w:r>
    </w:p>
    <w:p>
      <w:pPr>
        <w:spacing w:line="520" w:lineRule="exact"/>
        <w:ind w:firstLine="600" w:firstLineChars="200"/>
        <w:outlineLvl w:val="1"/>
        <w:rPr>
          <w:rFonts w:ascii="仿宋_GB2312" w:hAnsi="仿宋" w:eastAsia="仿宋_GB2312" w:cs="宋体"/>
          <w:sz w:val="30"/>
          <w:szCs w:val="30"/>
        </w:rPr>
      </w:pPr>
      <w:r>
        <w:rPr>
          <w:rFonts w:hint="eastAsia" w:ascii="仿宋_GB2312" w:hAnsi="仿宋" w:eastAsia="仿宋_GB2312" w:cs="宋体"/>
          <w:sz w:val="30"/>
          <w:szCs w:val="30"/>
        </w:rPr>
        <w:t>（一）完善信息</w:t>
      </w:r>
    </w:p>
    <w:p>
      <w:pPr>
        <w:spacing w:line="520" w:lineRule="exact"/>
        <w:ind w:firstLine="570" w:firstLineChars="190"/>
        <w:rPr>
          <w:rFonts w:ascii="仿宋_GB2312" w:hAnsi="仿宋" w:eastAsia="仿宋_GB2312" w:cs="宋体"/>
          <w:sz w:val="30"/>
          <w:szCs w:val="30"/>
        </w:rPr>
      </w:pPr>
      <w:r>
        <w:rPr>
          <w:rFonts w:hint="eastAsia" w:ascii="仿宋_GB2312" w:hAnsi="仿宋" w:eastAsia="仿宋_GB2312" w:cs="宋体"/>
          <w:sz w:val="30"/>
          <w:szCs w:val="30"/>
        </w:rPr>
        <w:t>首次登录进入管理平台的学员，需要根据提示完善个人信息，带</w:t>
      </w:r>
      <w:r>
        <w:rPr>
          <w:rFonts w:hint="eastAsia" w:ascii="仿宋_GB2312" w:hAnsi="仿宋" w:eastAsia="仿宋_GB2312" w:cs="宋体"/>
          <w:color w:val="FF0000"/>
          <w:sz w:val="30"/>
          <w:szCs w:val="30"/>
        </w:rPr>
        <w:t>*</w:t>
      </w:r>
      <w:r>
        <w:rPr>
          <w:rFonts w:hint="eastAsia" w:ascii="仿宋_GB2312" w:hAnsi="仿宋" w:eastAsia="仿宋_GB2312" w:cs="宋体"/>
          <w:sz w:val="30"/>
          <w:szCs w:val="30"/>
        </w:rPr>
        <w:t>项目为必须填写的项目，完善信息并提交后自动进入学员中心。如图所示：</w:t>
      </w:r>
    </w:p>
    <w:p>
      <w:pPr>
        <w:rPr>
          <w:rFonts w:ascii="Calibri" w:hAnsi="Calibri" w:eastAsia="宋体"/>
          <w:szCs w:val="21"/>
        </w:rPr>
      </w:pPr>
      <w:r>
        <w:drawing>
          <wp:inline distT="0" distB="0" distL="114300" distR="114300">
            <wp:extent cx="5274310" cy="3032760"/>
            <wp:effectExtent l="0" t="0" r="2540" b="1524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4310" cy="3938905"/>
                    </a:xfrm>
                    <a:prstGeom prst="rect">
                      <a:avLst/>
                    </a:prstGeom>
                    <a:noFill/>
                    <a:ln>
                      <a:noFill/>
                    </a:ln>
                    <a:effectLst/>
                  </pic:spPr>
                </pic:pic>
              </a:graphicData>
            </a:graphic>
          </wp:inline>
        </w:drawing>
      </w:r>
    </w:p>
    <w:p>
      <w:pPr>
        <w:spacing w:line="520" w:lineRule="exact"/>
        <w:ind w:firstLine="600" w:firstLineChars="200"/>
        <w:rPr>
          <w:rFonts w:ascii="仿宋_GB2312" w:hAnsi="仿宋" w:eastAsia="仿宋_GB2312" w:cs="宋体"/>
          <w:sz w:val="30"/>
          <w:szCs w:val="30"/>
        </w:rPr>
      </w:pPr>
      <w:r>
        <w:rPr>
          <w:rFonts w:hint="eastAsia" w:ascii="仿宋_GB2312" w:hAnsi="仿宋" w:eastAsia="仿宋_GB2312" w:cs="宋体"/>
          <w:sz w:val="30"/>
          <w:szCs w:val="30"/>
        </w:rPr>
        <w:t>其中，为了规范单位名称，工作单位需要搜索单位名称后选择单位填入。</w:t>
      </w:r>
    </w:p>
    <w:p>
      <w:pPr>
        <w:spacing w:line="520" w:lineRule="exact"/>
        <w:ind w:firstLine="600" w:firstLineChars="200"/>
        <w:rPr>
          <w:rFonts w:ascii="仿宋_GB2312" w:hAnsi="仿宋" w:eastAsia="仿宋_GB2312" w:cs="宋体"/>
          <w:color w:val="FF0000"/>
          <w:sz w:val="30"/>
          <w:szCs w:val="30"/>
        </w:rPr>
      </w:pPr>
      <w:r>
        <w:rPr>
          <w:rFonts w:hint="eastAsia" w:ascii="仿宋_GB2312" w:hAnsi="仿宋" w:eastAsia="仿宋_GB2312" w:cs="宋体"/>
          <w:color w:val="FF0000"/>
          <w:sz w:val="30"/>
          <w:szCs w:val="30"/>
        </w:rPr>
        <w:t>若单位搜索不到，则需要专业技术人员提醒所在单位管理员进行相关操作，具体请查阅《继续教育管理平台常见问题解答》第四问。</w:t>
      </w:r>
    </w:p>
    <w:p>
      <w:pPr>
        <w:spacing w:line="520" w:lineRule="exact"/>
        <w:outlineLvl w:val="1"/>
        <w:rPr>
          <w:rFonts w:ascii="仿宋_GB2312" w:hAnsi="仿宋" w:eastAsia="仿宋_GB2312" w:cs="宋体"/>
          <w:sz w:val="30"/>
          <w:szCs w:val="30"/>
        </w:rPr>
      </w:pPr>
      <w:r>
        <w:rPr>
          <w:rFonts w:hint="eastAsia" w:ascii="仿宋_GB2312" w:hAnsi="仿宋" w:eastAsia="仿宋_GB2312" w:cs="宋体"/>
          <w:sz w:val="30"/>
          <w:szCs w:val="30"/>
        </w:rPr>
        <w:t>（二）培训报名</w:t>
      </w:r>
    </w:p>
    <w:p>
      <w:pPr>
        <w:spacing w:line="520" w:lineRule="exact"/>
        <w:ind w:firstLine="600" w:firstLineChars="200"/>
        <w:rPr>
          <w:rFonts w:ascii="仿宋_GB2312" w:hAnsi="仿宋" w:eastAsia="仿宋_GB2312" w:cs="宋体"/>
          <w:sz w:val="30"/>
          <w:szCs w:val="30"/>
        </w:rPr>
      </w:pPr>
      <w:r>
        <w:rPr>
          <w:rFonts w:hint="eastAsia" w:ascii="仿宋_GB2312" w:hAnsi="仿宋" w:eastAsia="仿宋_GB2312" w:cs="宋体"/>
          <w:sz w:val="30"/>
          <w:szCs w:val="30"/>
        </w:rPr>
        <w:t>进入学员中心，若还未报名，可根据报名记录的页面提示点击“去报名”或点击学员中心左侧菜单“培训报名”打开报名页面，选择需要报名的专题名称进入报名。如图所示：</w:t>
      </w:r>
    </w:p>
    <w:p>
      <w:pPr>
        <w:spacing w:line="360" w:lineRule="auto"/>
        <w:jc w:val="left"/>
        <w:rPr>
          <w:rFonts w:ascii="仿宋" w:hAnsi="仿宋" w:eastAsia="仿宋" w:cs="宋体"/>
          <w:sz w:val="24"/>
          <w:szCs w:val="24"/>
        </w:rPr>
      </w:pPr>
      <w:r>
        <w:rPr>
          <w:rFonts w:ascii="仿宋" w:hAnsi="仿宋" w:eastAsia="仿宋"/>
          <w:sz w:val="24"/>
          <w:szCs w:val="24"/>
        </w:rPr>
        <w:drawing>
          <wp:inline distT="0" distB="0" distL="114300" distR="114300">
            <wp:extent cx="5270500" cy="3215640"/>
            <wp:effectExtent l="0" t="0" r="6350" b="3810"/>
            <wp:docPr id="3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0"/>
                    <pic:cNvPicPr>
                      <a:picLocks noChangeAspect="1"/>
                    </pic:cNvPicPr>
                  </pic:nvPicPr>
                  <pic:blipFill>
                    <a:blip r:embed="rId10"/>
                    <a:stretch>
                      <a:fillRect/>
                    </a:stretch>
                  </pic:blipFill>
                  <pic:spPr>
                    <a:xfrm>
                      <a:off x="0" y="0"/>
                      <a:ext cx="5270500" cy="3215640"/>
                    </a:xfrm>
                    <a:prstGeom prst="rect">
                      <a:avLst/>
                    </a:prstGeom>
                    <a:noFill/>
                    <a:ln w="9525">
                      <a:noFill/>
                    </a:ln>
                    <a:effectLst/>
                  </pic:spPr>
                </pic:pic>
              </a:graphicData>
            </a:graphic>
          </wp:inline>
        </w:drawing>
      </w:r>
    </w:p>
    <w:p>
      <w:pPr>
        <w:jc w:val="left"/>
        <w:rPr>
          <w:rFonts w:ascii="仿宋" w:hAnsi="仿宋" w:eastAsia="仿宋"/>
          <w:sz w:val="24"/>
          <w:szCs w:val="24"/>
        </w:rPr>
      </w:pPr>
    </w:p>
    <w:p>
      <w:pPr>
        <w:jc w:val="left"/>
        <w:rPr>
          <w:rFonts w:ascii="仿宋" w:hAnsi="仿宋" w:eastAsia="仿宋"/>
          <w:sz w:val="24"/>
          <w:szCs w:val="24"/>
        </w:rPr>
      </w:pPr>
      <w:r>
        <w:rPr>
          <w:rFonts w:ascii="仿宋" w:hAnsi="仿宋" w:eastAsia="仿宋"/>
          <w:sz w:val="24"/>
          <w:szCs w:val="24"/>
        </w:rPr>
        <w:drawing>
          <wp:inline distT="0" distB="0" distL="114300" distR="114300">
            <wp:extent cx="5274310" cy="2827020"/>
            <wp:effectExtent l="0" t="0" r="2540" b="11430"/>
            <wp:docPr id="3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1"/>
                    <pic:cNvPicPr>
                      <a:picLocks noChangeAspect="1"/>
                    </pic:cNvPicPr>
                  </pic:nvPicPr>
                  <pic:blipFill>
                    <a:blip r:embed="rId11"/>
                    <a:stretch>
                      <a:fillRect/>
                    </a:stretch>
                  </pic:blipFill>
                  <pic:spPr>
                    <a:xfrm>
                      <a:off x="0" y="0"/>
                      <a:ext cx="5274310" cy="2827020"/>
                    </a:xfrm>
                    <a:prstGeom prst="rect">
                      <a:avLst/>
                    </a:prstGeom>
                    <a:noFill/>
                    <a:ln w="9525">
                      <a:noFill/>
                    </a:ln>
                    <a:effectLst/>
                  </pic:spPr>
                </pic:pic>
              </a:graphicData>
            </a:graphic>
          </wp:inline>
        </w:drawing>
      </w:r>
    </w:p>
    <w:p>
      <w:pPr>
        <w:jc w:val="left"/>
        <w:rPr>
          <w:rFonts w:ascii="仿宋" w:hAnsi="仿宋" w:eastAsia="仿宋"/>
          <w:sz w:val="24"/>
          <w:szCs w:val="24"/>
        </w:rPr>
      </w:pPr>
    </w:p>
    <w:p>
      <w:pPr>
        <w:spacing w:line="360" w:lineRule="auto"/>
        <w:ind w:firstLine="600" w:firstLineChars="200"/>
        <w:rPr>
          <w:rFonts w:ascii="仿宋_GB2312" w:hAnsi="仿宋" w:eastAsia="仿宋_GB2312" w:cs="宋体"/>
          <w:bCs/>
          <w:color w:val="FF0000"/>
          <w:sz w:val="30"/>
          <w:szCs w:val="30"/>
        </w:rPr>
      </w:pPr>
      <w:r>
        <w:rPr>
          <w:rFonts w:hint="eastAsia" w:ascii="仿宋_GB2312" w:hAnsi="仿宋" w:eastAsia="仿宋_GB2312" w:cs="宋体"/>
          <w:bCs/>
          <w:color w:val="FF0000"/>
          <w:sz w:val="30"/>
          <w:szCs w:val="30"/>
        </w:rPr>
        <w:t>重要提醒：根据管理要求，2021年度公需课统一在继续教育管理平台上报名公需课专题，管理平台报名成功后再到培训平台缴费学习。</w:t>
      </w:r>
    </w:p>
    <w:p>
      <w:pPr>
        <w:spacing w:line="520" w:lineRule="exact"/>
        <w:outlineLvl w:val="1"/>
        <w:rPr>
          <w:rFonts w:ascii="仿宋_GB2312" w:hAnsi="仿宋" w:eastAsia="仿宋_GB2312" w:cs="宋体"/>
          <w:sz w:val="30"/>
          <w:szCs w:val="30"/>
        </w:rPr>
      </w:pPr>
      <w:r>
        <w:rPr>
          <w:rFonts w:hint="eastAsia" w:ascii="仿宋_GB2312" w:hAnsi="仿宋" w:eastAsia="仿宋_GB2312" w:cs="宋体"/>
          <w:sz w:val="30"/>
          <w:szCs w:val="30"/>
        </w:rPr>
        <w:t>（三）报名记录</w:t>
      </w:r>
    </w:p>
    <w:p>
      <w:pPr>
        <w:spacing w:line="520" w:lineRule="exact"/>
        <w:ind w:firstLine="600" w:firstLineChars="200"/>
        <w:rPr>
          <w:rFonts w:ascii="仿宋_GB2312" w:hAnsi="仿宋" w:eastAsia="仿宋_GB2312" w:cs="宋体"/>
          <w:sz w:val="30"/>
          <w:szCs w:val="30"/>
        </w:rPr>
      </w:pPr>
      <w:r>
        <w:rPr>
          <w:rFonts w:hint="eastAsia" w:ascii="仿宋_GB2312" w:hAnsi="仿宋" w:eastAsia="仿宋_GB2312" w:cs="宋体"/>
          <w:sz w:val="30"/>
          <w:szCs w:val="30"/>
        </w:rPr>
        <w:t>学员在管理平台报名公需课专题成功后，会生成对应的报名记录。</w:t>
      </w:r>
    </w:p>
    <w:p>
      <w:pPr>
        <w:spacing w:line="520" w:lineRule="exact"/>
        <w:ind w:firstLine="600" w:firstLineChars="200"/>
        <w:rPr>
          <w:rFonts w:ascii="仿宋_GB2312" w:hAnsi="仿宋" w:eastAsia="仿宋_GB2312" w:cs="宋体"/>
          <w:sz w:val="30"/>
          <w:szCs w:val="30"/>
        </w:rPr>
      </w:pPr>
      <w:r>
        <w:rPr>
          <w:rFonts w:hint="eastAsia" w:ascii="仿宋_GB2312" w:hAnsi="仿宋" w:eastAsia="仿宋_GB2312" w:cs="宋体"/>
          <w:sz w:val="30"/>
          <w:szCs w:val="30"/>
        </w:rPr>
        <w:t>点击报名记录中对应专题的“</w:t>
      </w:r>
      <w:r>
        <w:rPr>
          <w:rFonts w:hint="eastAsia" w:ascii="仿宋_GB2312" w:hAnsi="仿宋" w:eastAsia="仿宋_GB2312" w:cs="宋体"/>
          <w:b/>
          <w:bCs/>
          <w:color w:val="0000FF"/>
          <w:sz w:val="30"/>
          <w:szCs w:val="30"/>
        </w:rPr>
        <w:t>去缴费</w:t>
      </w:r>
      <w:r>
        <w:rPr>
          <w:rFonts w:hint="eastAsia" w:ascii="仿宋_GB2312" w:hAnsi="仿宋" w:eastAsia="仿宋_GB2312" w:cs="宋体"/>
          <w:sz w:val="30"/>
          <w:szCs w:val="30"/>
        </w:rPr>
        <w:t>”按钮，即可到培训平台缴费学习（此过程根据各培训平台流程而定，可查看培训平台相应的缴费或学习指南）。</w:t>
      </w:r>
    </w:p>
    <w:p>
      <w:pPr>
        <w:spacing w:line="360" w:lineRule="auto"/>
        <w:rPr>
          <w:rFonts w:ascii="仿宋" w:hAnsi="仿宋" w:eastAsia="仿宋" w:cs="宋体"/>
          <w:sz w:val="24"/>
          <w:szCs w:val="24"/>
        </w:rPr>
      </w:pPr>
      <w:r>
        <w:rPr>
          <w:rFonts w:ascii="仿宋" w:hAnsi="仿宋" w:eastAsia="仿宋"/>
          <w:sz w:val="24"/>
          <w:szCs w:val="24"/>
        </w:rPr>
        <w:drawing>
          <wp:inline distT="0" distB="0" distL="114300" distR="114300">
            <wp:extent cx="5266690" cy="2296160"/>
            <wp:effectExtent l="0" t="0" r="10160" b="8890"/>
            <wp:docPr id="2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pic:cNvPicPr>
                      <a:picLocks noChangeAspect="1"/>
                    </pic:cNvPicPr>
                  </pic:nvPicPr>
                  <pic:blipFill>
                    <a:blip r:embed="rId12"/>
                    <a:stretch>
                      <a:fillRect/>
                    </a:stretch>
                  </pic:blipFill>
                  <pic:spPr>
                    <a:xfrm>
                      <a:off x="0" y="0"/>
                      <a:ext cx="5266690" cy="2165350"/>
                    </a:xfrm>
                    <a:prstGeom prst="rect">
                      <a:avLst/>
                    </a:prstGeom>
                    <a:noFill/>
                    <a:ln w="9525">
                      <a:noFill/>
                    </a:ln>
                    <a:effectLst/>
                  </pic:spPr>
                </pic:pic>
              </a:graphicData>
            </a:graphic>
          </wp:inline>
        </w:drawing>
      </w:r>
    </w:p>
    <w:p>
      <w:pPr>
        <w:spacing w:line="360" w:lineRule="auto"/>
        <w:rPr>
          <w:rFonts w:ascii="仿宋_GB2312" w:hAnsi="仿宋" w:eastAsia="仿宋_GB2312"/>
          <w:sz w:val="30"/>
          <w:szCs w:val="30"/>
        </w:rPr>
      </w:pPr>
      <w:r>
        <w:rPr>
          <w:rFonts w:hint="eastAsia" w:ascii="仿宋_GB2312" w:hAnsi="仿宋" w:eastAsia="仿宋_GB2312" w:cs="宋体"/>
          <w:sz w:val="30"/>
          <w:szCs w:val="30"/>
        </w:rPr>
        <w:t xml:space="preserve">    若已缴费，则下次登录后可通过继续教育管理平台报名记录，点击“</w:t>
      </w:r>
      <w:r>
        <w:rPr>
          <w:rFonts w:hint="eastAsia" w:ascii="仿宋_GB2312" w:hAnsi="仿宋" w:eastAsia="仿宋_GB2312" w:cs="宋体"/>
          <w:b/>
          <w:bCs/>
          <w:color w:val="0000FF"/>
          <w:sz w:val="30"/>
          <w:szCs w:val="30"/>
        </w:rPr>
        <w:t>去学习</w:t>
      </w:r>
      <w:r>
        <w:rPr>
          <w:rFonts w:hint="eastAsia" w:ascii="仿宋_GB2312" w:hAnsi="仿宋" w:eastAsia="仿宋_GB2312" w:cs="宋体"/>
          <w:sz w:val="30"/>
          <w:szCs w:val="30"/>
        </w:rPr>
        <w:t>”即可到培训平台继续学习考试。如图所示：</w:t>
      </w:r>
    </w:p>
    <w:p>
      <w:pPr>
        <w:spacing w:line="360" w:lineRule="auto"/>
        <w:rPr>
          <w:rFonts w:ascii="仿宋" w:hAnsi="仿宋" w:eastAsia="仿宋"/>
          <w:sz w:val="24"/>
          <w:szCs w:val="24"/>
        </w:rPr>
      </w:pPr>
      <w:r>
        <w:rPr>
          <w:rFonts w:ascii="仿宋" w:hAnsi="仿宋" w:eastAsia="仿宋"/>
          <w:sz w:val="24"/>
          <w:szCs w:val="24"/>
        </w:rPr>
        <w:drawing>
          <wp:inline distT="0" distB="0" distL="114300" distR="114300">
            <wp:extent cx="5266690" cy="2104390"/>
            <wp:effectExtent l="0" t="0" r="10160" b="10160"/>
            <wp:docPr id="3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3"/>
                    <pic:cNvPicPr>
                      <a:picLocks noChangeAspect="1"/>
                    </pic:cNvPicPr>
                  </pic:nvPicPr>
                  <pic:blipFill>
                    <a:blip r:embed="rId13"/>
                    <a:stretch>
                      <a:fillRect/>
                    </a:stretch>
                  </pic:blipFill>
                  <pic:spPr>
                    <a:xfrm>
                      <a:off x="0" y="0"/>
                      <a:ext cx="5266690" cy="1917065"/>
                    </a:xfrm>
                    <a:prstGeom prst="rect">
                      <a:avLst/>
                    </a:prstGeom>
                    <a:noFill/>
                    <a:ln w="9525">
                      <a:noFill/>
                    </a:ln>
                    <a:effectLst/>
                  </pic:spPr>
                </pic:pic>
              </a:graphicData>
            </a:graphic>
          </wp:inline>
        </w:drawing>
      </w:r>
    </w:p>
    <w:p>
      <w:pPr>
        <w:spacing w:line="360" w:lineRule="auto"/>
        <w:outlineLvl w:val="1"/>
        <w:rPr>
          <w:rFonts w:ascii="仿宋_GB2312" w:hAnsi="仿宋" w:eastAsia="仿宋_GB2312" w:cs="宋体"/>
          <w:sz w:val="30"/>
          <w:szCs w:val="30"/>
        </w:rPr>
      </w:pPr>
      <w:r>
        <w:rPr>
          <w:rFonts w:hint="eastAsia" w:ascii="仿宋_GB2312" w:hAnsi="仿宋" w:eastAsia="仿宋_GB2312" w:cs="宋体"/>
          <w:sz w:val="30"/>
          <w:szCs w:val="30"/>
        </w:rPr>
        <w:t xml:space="preserve">    （四）培训档案</w:t>
      </w:r>
    </w:p>
    <w:p>
      <w:pPr>
        <w:spacing w:line="360" w:lineRule="auto"/>
        <w:rPr>
          <w:rFonts w:ascii="仿宋_GB2312" w:hAnsi="仿宋" w:eastAsia="仿宋_GB2312" w:cs="宋体"/>
          <w:sz w:val="30"/>
          <w:szCs w:val="30"/>
        </w:rPr>
      </w:pPr>
      <w:r>
        <w:rPr>
          <w:rFonts w:hint="eastAsia" w:ascii="仿宋_GB2312" w:hAnsi="仿宋" w:eastAsia="仿宋_GB2312" w:cs="宋体"/>
          <w:sz w:val="30"/>
          <w:szCs w:val="30"/>
        </w:rPr>
        <w:t xml:space="preserve">    学员完成所报专题对应培训平台上的学习考试后，可以在此查看继续教育公需课历程和下载打印公需课电子证书。如图所示：</w:t>
      </w:r>
    </w:p>
    <w:p>
      <w:pPr>
        <w:jc w:val="left"/>
        <w:rPr>
          <w:rFonts w:ascii="仿宋" w:hAnsi="仿宋" w:eastAsia="仿宋"/>
          <w:sz w:val="24"/>
          <w:szCs w:val="24"/>
        </w:rPr>
      </w:pPr>
      <w:r>
        <w:rPr>
          <w:rFonts w:ascii="仿宋" w:hAnsi="仿宋" w:eastAsia="仿宋"/>
          <w:sz w:val="24"/>
          <w:szCs w:val="24"/>
        </w:rPr>
        <w:drawing>
          <wp:inline distT="0" distB="0" distL="114300" distR="114300">
            <wp:extent cx="5274310" cy="2172970"/>
            <wp:effectExtent l="0" t="0" r="2540" b="17780"/>
            <wp:docPr id="4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4"/>
                    <pic:cNvPicPr>
                      <a:picLocks noChangeAspect="1"/>
                    </pic:cNvPicPr>
                  </pic:nvPicPr>
                  <pic:blipFill>
                    <a:blip r:embed="rId14"/>
                    <a:stretch>
                      <a:fillRect/>
                    </a:stretch>
                  </pic:blipFill>
                  <pic:spPr>
                    <a:xfrm>
                      <a:off x="0" y="0"/>
                      <a:ext cx="5274310" cy="1946275"/>
                    </a:xfrm>
                    <a:prstGeom prst="rect">
                      <a:avLst/>
                    </a:prstGeom>
                    <a:noFill/>
                    <a:ln w="9525">
                      <a:noFill/>
                    </a:ln>
                    <a:effectLst/>
                  </pic:spPr>
                </pic:pic>
              </a:graphicData>
            </a:graphic>
          </wp:inline>
        </w:drawing>
      </w:r>
    </w:p>
    <w:p>
      <w:pPr>
        <w:spacing w:line="60" w:lineRule="exact"/>
        <w:jc w:val="left"/>
        <w:rPr>
          <w:rFonts w:ascii="仿宋" w:hAnsi="仿宋" w:eastAsia="仿宋"/>
          <w:sz w:val="24"/>
          <w:szCs w:val="24"/>
        </w:rPr>
      </w:pPr>
    </w:p>
    <w:p>
      <w:pPr>
        <w:spacing w:line="360" w:lineRule="auto"/>
        <w:outlineLvl w:val="1"/>
        <w:rPr>
          <w:rFonts w:ascii="仿宋_GB2312" w:hAnsi="仿宋" w:eastAsia="仿宋_GB2312" w:cs="宋体"/>
          <w:sz w:val="30"/>
          <w:szCs w:val="30"/>
        </w:rPr>
      </w:pPr>
      <w:r>
        <w:rPr>
          <w:rFonts w:hint="eastAsia" w:ascii="仿宋_GB2312" w:hAnsi="仿宋" w:eastAsia="仿宋_GB2312" w:cs="宋体"/>
          <w:sz w:val="30"/>
          <w:szCs w:val="30"/>
        </w:rPr>
        <w:t xml:space="preserve">    （五）个人信息</w:t>
      </w:r>
    </w:p>
    <w:p>
      <w:pPr>
        <w:spacing w:line="360" w:lineRule="auto"/>
        <w:ind w:firstLine="420"/>
        <w:rPr>
          <w:rFonts w:ascii="仿宋_GB2312" w:hAnsi="仿宋" w:eastAsia="仿宋_GB2312" w:cs="宋体"/>
          <w:sz w:val="30"/>
          <w:szCs w:val="30"/>
        </w:rPr>
      </w:pPr>
      <w:r>
        <w:rPr>
          <w:rFonts w:hint="eastAsia" w:ascii="仿宋_GB2312" w:hAnsi="仿宋" w:eastAsia="仿宋_GB2312" w:cs="宋体"/>
          <w:sz w:val="30"/>
          <w:szCs w:val="30"/>
        </w:rPr>
        <w:t xml:space="preserve"> 学员可在此查看和修改个人信息，修改个人信息时，必填项全部填写才可提交保存。如图所示：</w:t>
      </w:r>
    </w:p>
    <w:p>
      <w:pPr>
        <w:jc w:val="left"/>
        <w:rPr>
          <w:rFonts w:ascii="仿宋" w:hAnsi="仿宋" w:eastAsia="仿宋"/>
          <w:sz w:val="24"/>
          <w:szCs w:val="24"/>
        </w:rPr>
      </w:pPr>
      <w:r>
        <w:rPr>
          <w:rFonts w:ascii="仿宋" w:hAnsi="仿宋" w:eastAsia="仿宋"/>
          <w:sz w:val="24"/>
          <w:szCs w:val="24"/>
        </w:rPr>
        <w:drawing>
          <wp:inline distT="0" distB="0" distL="114300" distR="114300">
            <wp:extent cx="4481195" cy="3544570"/>
            <wp:effectExtent l="0" t="0" r="14605" b="17780"/>
            <wp:docPr id="3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5"/>
                    <pic:cNvPicPr>
                      <a:picLocks noChangeAspect="1"/>
                    </pic:cNvPicPr>
                  </pic:nvPicPr>
                  <pic:blipFill>
                    <a:blip r:embed="rId15"/>
                    <a:stretch>
                      <a:fillRect/>
                    </a:stretch>
                  </pic:blipFill>
                  <pic:spPr>
                    <a:xfrm>
                      <a:off x="0" y="0"/>
                      <a:ext cx="4481195" cy="3544570"/>
                    </a:xfrm>
                    <a:prstGeom prst="rect">
                      <a:avLst/>
                    </a:prstGeom>
                    <a:noFill/>
                    <a:ln w="9525">
                      <a:noFill/>
                    </a:ln>
                    <a:effectLst/>
                  </pic:spPr>
                </pic:pic>
              </a:graphicData>
            </a:graphic>
          </wp:inline>
        </w:drawing>
      </w:r>
    </w:p>
    <w:p>
      <w:pPr>
        <w:spacing w:line="540" w:lineRule="exact"/>
        <w:jc w:val="left"/>
        <w:rPr>
          <w:rFonts w:ascii="仿宋_GB2312" w:hAnsi="仿宋" w:eastAsia="仿宋_GB2312"/>
          <w:sz w:val="30"/>
          <w:szCs w:val="30"/>
        </w:rPr>
      </w:pPr>
      <w:r>
        <w:rPr>
          <w:rFonts w:hint="eastAsia" w:ascii="仿宋_GB2312" w:hAnsi="仿宋" w:eastAsia="仿宋_GB2312"/>
          <w:sz w:val="30"/>
          <w:szCs w:val="30"/>
        </w:rPr>
        <w:t xml:space="preserve">    （六）前往机构平台学习</w:t>
      </w:r>
    </w:p>
    <w:p>
      <w:pPr>
        <w:spacing w:line="540" w:lineRule="exact"/>
        <w:rPr>
          <w:rFonts w:ascii="仿宋_GB2312" w:hAnsi="仿宋" w:eastAsia="仿宋_GB2312"/>
          <w:sz w:val="30"/>
          <w:szCs w:val="30"/>
        </w:rPr>
      </w:pPr>
      <w:r>
        <w:rPr>
          <w:rFonts w:hint="eastAsia" w:ascii="仿宋_GB2312" w:hAnsi="仿宋" w:eastAsia="仿宋_GB2312" w:cs="宋体"/>
          <w:sz w:val="30"/>
          <w:szCs w:val="30"/>
        </w:rPr>
        <w:t xml:space="preserve">    此处为快速指引到各培训平台进行查看和学习，学员也可通过报名记录栏目进入培训平台。</w:t>
      </w:r>
    </w:p>
    <w:p>
      <w:pPr>
        <w:spacing w:line="360" w:lineRule="auto"/>
        <w:ind w:firstLine="600" w:firstLineChars="200"/>
        <w:outlineLvl w:val="0"/>
        <w:rPr>
          <w:rFonts w:ascii="黑体" w:hAnsi="黑体" w:eastAsia="黑体" w:cs="宋体"/>
          <w:bCs/>
          <w:sz w:val="30"/>
          <w:szCs w:val="30"/>
        </w:rPr>
      </w:pPr>
      <w:r>
        <w:rPr>
          <w:rFonts w:hint="eastAsia" w:ascii="黑体" w:hAnsi="黑体" w:eastAsia="黑体"/>
          <w:sz w:val="30"/>
          <w:szCs w:val="30"/>
        </w:rPr>
        <w:t>三、</w:t>
      </w:r>
      <w:r>
        <w:rPr>
          <w:rFonts w:hint="eastAsia" w:ascii="黑体" w:hAnsi="黑体" w:eastAsia="黑体" w:cs="宋体"/>
          <w:bCs/>
          <w:sz w:val="30"/>
          <w:szCs w:val="30"/>
        </w:rPr>
        <w:t>学习评价</w:t>
      </w:r>
    </w:p>
    <w:p>
      <w:pPr>
        <w:spacing w:line="360" w:lineRule="auto"/>
        <w:ind w:firstLine="600" w:firstLineChars="200"/>
        <w:rPr>
          <w:rFonts w:ascii="仿宋_GB2312" w:hAnsi="仿宋" w:eastAsia="仿宋_GB2312" w:cs="宋体"/>
          <w:spacing w:val="-2"/>
          <w:sz w:val="30"/>
          <w:szCs w:val="30"/>
        </w:rPr>
      </w:pPr>
      <w:r>
        <w:rPr>
          <w:rFonts w:hint="eastAsia" w:ascii="仿宋_GB2312" w:hAnsi="仿宋" w:eastAsia="仿宋_GB2312" w:cs="宋体"/>
          <w:sz w:val="30"/>
          <w:szCs w:val="30"/>
        </w:rPr>
        <w:t>学</w:t>
      </w:r>
      <w:r>
        <w:rPr>
          <w:rFonts w:hint="eastAsia" w:ascii="仿宋_GB2312" w:hAnsi="仿宋" w:eastAsia="仿宋_GB2312" w:cs="宋体"/>
          <w:spacing w:val="-2"/>
          <w:sz w:val="30"/>
          <w:szCs w:val="30"/>
        </w:rPr>
        <w:t>员完成培训平台的学习考试后，再次进入管理平台，可按提示对培训机构进行评价，评价一经提交不可修改，请谨慎评价。如图所示：</w:t>
      </w:r>
    </w:p>
    <w:p>
      <w:r>
        <w:drawing>
          <wp:inline distT="0" distB="0" distL="114300" distR="114300">
            <wp:extent cx="5271135" cy="2114550"/>
            <wp:effectExtent l="0" t="0" r="5715" b="0"/>
            <wp:docPr id="3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7"/>
                    <pic:cNvPicPr>
                      <a:picLocks noChangeAspect="1"/>
                    </pic:cNvPicPr>
                  </pic:nvPicPr>
                  <pic:blipFill>
                    <a:blip r:embed="rId16"/>
                    <a:stretch>
                      <a:fillRect/>
                    </a:stretch>
                  </pic:blipFill>
                  <pic:spPr>
                    <a:xfrm>
                      <a:off x="0" y="0"/>
                      <a:ext cx="5271135" cy="2114550"/>
                    </a:xfrm>
                    <a:prstGeom prst="rect">
                      <a:avLst/>
                    </a:prstGeom>
                    <a:noFill/>
                    <a:ln w="9525">
                      <a:noFill/>
                    </a:ln>
                    <a:effectLst/>
                  </pic:spPr>
                </pic:pic>
              </a:graphicData>
            </a:graphic>
          </wp:inline>
        </w:drawing>
      </w:r>
    </w:p>
    <w:p>
      <w:pPr>
        <w:spacing w:line="360" w:lineRule="auto"/>
        <w:ind w:firstLine="600" w:firstLineChars="200"/>
        <w:outlineLvl w:val="0"/>
        <w:rPr>
          <w:rFonts w:ascii="仿宋_GB2312" w:hAnsi="黑体" w:eastAsia="仿宋_GB2312"/>
          <w:bCs/>
          <w:sz w:val="30"/>
          <w:szCs w:val="30"/>
        </w:rPr>
      </w:pPr>
      <w:r>
        <w:rPr>
          <w:rFonts w:hint="eastAsia" w:ascii="黑体" w:hAnsi="黑体" w:eastAsia="黑体" w:cs="宋体"/>
          <w:bCs/>
          <w:sz w:val="30"/>
          <w:szCs w:val="30"/>
        </w:rPr>
        <w:t>四、管理平台登录异常情况及解决办法</w:t>
      </w:r>
    </w:p>
    <w:p>
      <w:pPr>
        <w:spacing w:line="360" w:lineRule="auto"/>
        <w:ind w:firstLine="600" w:firstLineChars="200"/>
        <w:outlineLvl w:val="0"/>
        <w:rPr>
          <w:rFonts w:ascii="仿宋_GB2312" w:eastAsia="仿宋_GB2312"/>
          <w:sz w:val="30"/>
          <w:szCs w:val="30"/>
        </w:rPr>
      </w:pPr>
      <w:r>
        <w:rPr>
          <w:rFonts w:hint="eastAsia" w:ascii="仿宋_GB2312" w:eastAsia="仿宋_GB2312"/>
          <w:sz w:val="30"/>
          <w:szCs w:val="30"/>
        </w:rPr>
        <w:t>1.没有政务网账号，需要注册账号</w:t>
      </w:r>
    </w:p>
    <w:p>
      <w:pPr>
        <w:spacing w:line="360" w:lineRule="auto"/>
        <w:ind w:firstLine="600" w:firstLineChars="200"/>
        <w:rPr>
          <w:rFonts w:ascii="仿宋_GB2312" w:hAnsi="宋体" w:eastAsia="仿宋_GB2312" w:cs="宋体"/>
          <w:sz w:val="30"/>
          <w:szCs w:val="30"/>
        </w:rPr>
      </w:pPr>
      <w:r>
        <w:rPr>
          <w:rFonts w:hint="eastAsia" w:ascii="仿宋_GB2312" w:hAnsi="宋体" w:eastAsia="仿宋_GB2312" w:cs="宋体"/>
          <w:sz w:val="30"/>
          <w:szCs w:val="30"/>
        </w:rPr>
        <w:t>学员点击管理平台首页“</w:t>
      </w:r>
      <w:r>
        <w:rPr>
          <w:rFonts w:hint="eastAsia" w:ascii="仿宋_GB2312" w:hAnsi="宋体" w:eastAsia="仿宋_GB2312" w:cs="宋体"/>
          <w:b/>
          <w:bCs/>
          <w:color w:val="0000FF"/>
          <w:sz w:val="30"/>
          <w:szCs w:val="30"/>
        </w:rPr>
        <w:t>点击前往安徽政务服务网</w:t>
      </w:r>
      <w:r>
        <w:rPr>
          <w:rFonts w:hint="eastAsia" w:ascii="仿宋_GB2312" w:hAnsi="宋体" w:eastAsia="仿宋_GB2312" w:cs="宋体"/>
          <w:sz w:val="30"/>
          <w:szCs w:val="30"/>
        </w:rPr>
        <w:t>”按钮，在政务网点击个人用户框下方“</w:t>
      </w:r>
      <w:r>
        <w:rPr>
          <w:rFonts w:hint="eastAsia" w:ascii="仿宋_GB2312" w:hAnsi="宋体" w:eastAsia="仿宋_GB2312" w:cs="宋体"/>
          <w:color w:val="0000FF"/>
          <w:sz w:val="30"/>
          <w:szCs w:val="30"/>
        </w:rPr>
        <w:t>注册</w:t>
      </w:r>
      <w:r>
        <w:rPr>
          <w:rFonts w:hint="eastAsia" w:ascii="仿宋_GB2312" w:hAnsi="宋体" w:eastAsia="仿宋_GB2312" w:cs="宋体"/>
          <w:sz w:val="30"/>
          <w:szCs w:val="30"/>
        </w:rPr>
        <w:t>”按钮，根据安徽政务服务网提示完成注册。</w:t>
      </w:r>
    </w:p>
    <w:p>
      <w:pPr>
        <w:spacing w:line="360" w:lineRule="auto"/>
      </w:pPr>
      <w:r>
        <w:drawing>
          <wp:inline distT="0" distB="0" distL="114300" distR="114300">
            <wp:extent cx="5081270" cy="1923415"/>
            <wp:effectExtent l="0" t="0" r="5080" b="635"/>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17"/>
                    <a:stretch>
                      <a:fillRect/>
                    </a:stretch>
                  </pic:blipFill>
                  <pic:spPr>
                    <a:xfrm>
                      <a:off x="0" y="0"/>
                      <a:ext cx="5081270" cy="1923415"/>
                    </a:xfrm>
                    <a:prstGeom prst="rect">
                      <a:avLst/>
                    </a:prstGeom>
                    <a:noFill/>
                    <a:ln w="9525">
                      <a:noFill/>
                    </a:ln>
                  </pic:spPr>
                </pic:pic>
              </a:graphicData>
            </a:graphic>
          </wp:inline>
        </w:drawing>
      </w:r>
    </w:p>
    <w:p>
      <w:pPr>
        <w:spacing w:line="540" w:lineRule="exact"/>
        <w:ind w:firstLine="600" w:firstLineChars="200"/>
        <w:rPr>
          <w:rFonts w:ascii="仿宋_GB2312" w:hAnsi="宋体" w:eastAsia="仿宋_GB2312" w:cs="宋体"/>
          <w:sz w:val="30"/>
          <w:szCs w:val="30"/>
        </w:rPr>
      </w:pPr>
      <w:r>
        <w:rPr>
          <w:rFonts w:hint="eastAsia" w:ascii="仿宋_GB2312" w:hAnsi="宋体" w:eastAsia="仿宋_GB2312" w:cs="宋体"/>
          <w:sz w:val="30"/>
          <w:szCs w:val="30"/>
        </w:rPr>
        <w:t>注册时如果页面提示“</w:t>
      </w:r>
      <w:r>
        <w:rPr>
          <w:rFonts w:hint="eastAsia" w:ascii="仿宋_GB2312" w:hAnsi="宋体" w:eastAsia="仿宋_GB2312" w:cs="宋体"/>
          <w:b/>
          <w:bCs/>
          <w:color w:val="0000FF"/>
          <w:sz w:val="30"/>
          <w:szCs w:val="30"/>
        </w:rPr>
        <w:t>该证件号码已注册,请直接登录</w:t>
      </w:r>
      <w:r>
        <w:rPr>
          <w:rFonts w:hint="eastAsia" w:ascii="仿宋_GB2312" w:hAnsi="宋体" w:eastAsia="仿宋_GB2312" w:cs="宋体"/>
          <w:sz w:val="30"/>
          <w:szCs w:val="30"/>
        </w:rPr>
        <w:t>”，表示此身份信息存在政务网账号。可点击忘记密码重新找回密码后登录。</w:t>
      </w:r>
    </w:p>
    <w:p>
      <w:pPr>
        <w:spacing w:line="540" w:lineRule="exact"/>
        <w:ind w:firstLine="570" w:firstLineChars="190"/>
        <w:rPr>
          <w:rFonts w:ascii="仿宋_GB2312" w:hAnsi="宋体" w:eastAsia="仿宋_GB2312" w:cs="宋体"/>
          <w:sz w:val="30"/>
          <w:szCs w:val="30"/>
        </w:rPr>
      </w:pPr>
      <w:r>
        <w:rPr>
          <w:rFonts w:hint="eastAsia" w:ascii="仿宋_GB2312" w:hAnsi="宋体" w:eastAsia="仿宋_GB2312" w:cs="宋体"/>
          <w:sz w:val="30"/>
          <w:szCs w:val="30"/>
        </w:rPr>
        <w:t>新注册账号，政务网页面会提醒需要下载皖事通APP，请填写完政务网注册信息并提交的学员，用手机端的皖事通APP右上角扫码功能，按照网页提醒扫码验证，无需登录皖事通。</w:t>
      </w:r>
    </w:p>
    <w:p>
      <w:pPr>
        <w:spacing w:line="360" w:lineRule="auto"/>
        <w:ind w:firstLine="420"/>
      </w:pPr>
      <w:r>
        <w:drawing>
          <wp:inline distT="0" distB="0" distL="114300" distR="114300">
            <wp:extent cx="4813935" cy="2505710"/>
            <wp:effectExtent l="0" t="0" r="5715" b="8890"/>
            <wp:docPr id="1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
                    <pic:cNvPicPr>
                      <a:picLocks noChangeAspect="1"/>
                    </pic:cNvPicPr>
                  </pic:nvPicPr>
                  <pic:blipFill>
                    <a:blip r:embed="rId18"/>
                    <a:stretch>
                      <a:fillRect/>
                    </a:stretch>
                  </pic:blipFill>
                  <pic:spPr>
                    <a:xfrm>
                      <a:off x="0" y="0"/>
                      <a:ext cx="4813935" cy="2505710"/>
                    </a:xfrm>
                    <a:prstGeom prst="rect">
                      <a:avLst/>
                    </a:prstGeom>
                    <a:noFill/>
                    <a:ln w="9525">
                      <a:noFill/>
                    </a:ln>
                  </pic:spPr>
                </pic:pic>
              </a:graphicData>
            </a:graphic>
          </wp:inline>
        </w:drawing>
      </w:r>
    </w:p>
    <w:p>
      <w:pPr>
        <w:spacing w:line="360" w:lineRule="auto"/>
        <w:outlineLvl w:val="0"/>
        <w:rPr>
          <w:sz w:val="24"/>
          <w:szCs w:val="24"/>
        </w:rPr>
      </w:pPr>
      <w:r>
        <w:rPr>
          <w:rFonts w:hint="eastAsia" w:eastAsia="宋体"/>
        </w:rPr>
        <w:drawing>
          <wp:anchor distT="0" distB="0" distL="114300" distR="114300" simplePos="0" relativeHeight="251659264" behindDoc="0" locked="0" layoutInCell="1" allowOverlap="1">
            <wp:simplePos x="0" y="0"/>
            <wp:positionH relativeFrom="column">
              <wp:posOffset>-320040</wp:posOffset>
            </wp:positionH>
            <wp:positionV relativeFrom="paragraph">
              <wp:posOffset>514350</wp:posOffset>
            </wp:positionV>
            <wp:extent cx="3295650" cy="2139315"/>
            <wp:effectExtent l="0" t="0" r="0" b="13335"/>
            <wp:wrapSquare wrapText="bothSides"/>
            <wp:docPr id="8" name="图片 3" descr="5dd4774a9d20545e3497018edc938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5dd4774a9d20545e3497018edc938ab"/>
                    <pic:cNvPicPr>
                      <a:picLocks noChangeAspect="1"/>
                    </pic:cNvPicPr>
                  </pic:nvPicPr>
                  <pic:blipFill>
                    <a:blip r:embed="rId19"/>
                    <a:stretch>
                      <a:fillRect/>
                    </a:stretch>
                  </pic:blipFill>
                  <pic:spPr>
                    <a:xfrm>
                      <a:off x="0" y="0"/>
                      <a:ext cx="3295650" cy="2139315"/>
                    </a:xfrm>
                    <a:prstGeom prst="rect">
                      <a:avLst/>
                    </a:prstGeom>
                    <a:noFill/>
                    <a:ln w="9525">
                      <a:noFill/>
                    </a:ln>
                  </pic:spPr>
                </pic:pic>
              </a:graphicData>
            </a:graphic>
          </wp:anchor>
        </w:drawing>
      </w:r>
      <w:r>
        <w:drawing>
          <wp:inline distT="0" distB="0" distL="114300" distR="114300">
            <wp:extent cx="2438400" cy="3399790"/>
            <wp:effectExtent l="0" t="0" r="0" b="10160"/>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pic:cNvPicPr>
                      <a:picLocks noChangeAspect="1"/>
                    </pic:cNvPicPr>
                  </pic:nvPicPr>
                  <pic:blipFill>
                    <a:blip r:embed="rId20"/>
                    <a:stretch>
                      <a:fillRect/>
                    </a:stretch>
                  </pic:blipFill>
                  <pic:spPr>
                    <a:xfrm>
                      <a:off x="0" y="0"/>
                      <a:ext cx="2438400" cy="3399790"/>
                    </a:xfrm>
                    <a:prstGeom prst="rect">
                      <a:avLst/>
                    </a:prstGeom>
                    <a:noFill/>
                    <a:ln w="9525">
                      <a:noFill/>
                    </a:ln>
                  </pic:spPr>
                </pic:pic>
              </a:graphicData>
            </a:graphic>
          </wp:inline>
        </w:drawing>
      </w:r>
    </w:p>
    <w:p>
      <w:pPr>
        <w:spacing w:line="360" w:lineRule="auto"/>
        <w:ind w:firstLine="600" w:firstLineChars="200"/>
        <w:outlineLvl w:val="0"/>
        <w:rPr>
          <w:rFonts w:ascii="仿宋_GB2312" w:eastAsia="仿宋_GB2312"/>
          <w:sz w:val="30"/>
          <w:szCs w:val="30"/>
        </w:rPr>
      </w:pPr>
      <w:r>
        <w:rPr>
          <w:rFonts w:hint="eastAsia" w:ascii="仿宋_GB2312" w:eastAsia="仿宋_GB2312"/>
          <w:sz w:val="30"/>
          <w:szCs w:val="30"/>
        </w:rPr>
        <w:t>1.点击管理平台登录按钮，跳转不到政务网登录口，如图：</w:t>
      </w:r>
    </w:p>
    <w:p>
      <w:pPr>
        <w:spacing w:line="360" w:lineRule="auto"/>
        <w:outlineLvl w:val="0"/>
        <w:rPr>
          <w:rFonts w:ascii="仿宋_GB2312" w:eastAsia="仿宋_GB2312"/>
          <w:sz w:val="30"/>
          <w:szCs w:val="30"/>
        </w:rPr>
      </w:pPr>
      <w:r>
        <w:rPr>
          <w:rFonts w:hint="eastAsia" w:ascii="仿宋_GB2312" w:eastAsia="仿宋_GB2312"/>
          <w:b/>
          <w:bCs/>
          <w:color w:val="0000FF"/>
          <w:sz w:val="30"/>
          <w:szCs w:val="30"/>
        </w:rPr>
        <w:t>解决方法</w:t>
      </w:r>
      <w:r>
        <w:rPr>
          <w:rFonts w:hint="eastAsia" w:ascii="仿宋_GB2312" w:eastAsia="仿宋_GB2312"/>
          <w:sz w:val="30"/>
          <w:szCs w:val="30"/>
        </w:rPr>
        <w:t>：重新打开管理平台地址，再次点击前往政务网登录，若还是无法登录，请清除浏览器缓存再试。</w:t>
      </w:r>
    </w:p>
    <w:p>
      <w:r>
        <w:drawing>
          <wp:inline distT="0" distB="0" distL="114300" distR="114300">
            <wp:extent cx="5257165" cy="1980565"/>
            <wp:effectExtent l="0" t="0" r="635" b="635"/>
            <wp:docPr id="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5"/>
                    <pic:cNvPicPr>
                      <a:picLocks noChangeAspect="1"/>
                    </pic:cNvPicPr>
                  </pic:nvPicPr>
                  <pic:blipFill>
                    <a:blip r:embed="rId21"/>
                    <a:stretch>
                      <a:fillRect/>
                    </a:stretch>
                  </pic:blipFill>
                  <pic:spPr>
                    <a:xfrm>
                      <a:off x="0" y="0"/>
                      <a:ext cx="5257165" cy="1980565"/>
                    </a:xfrm>
                    <a:prstGeom prst="rect">
                      <a:avLst/>
                    </a:prstGeom>
                    <a:noFill/>
                    <a:ln w="9525">
                      <a:noFill/>
                    </a:ln>
                  </pic:spPr>
                </pic:pic>
              </a:graphicData>
            </a:graphic>
          </wp:inline>
        </w:drawing>
      </w:r>
    </w:p>
    <w:p>
      <w:pPr>
        <w:spacing w:line="540" w:lineRule="exact"/>
        <w:ind w:firstLine="600" w:firstLineChars="200"/>
        <w:outlineLvl w:val="0"/>
        <w:rPr>
          <w:rFonts w:ascii="仿宋_GB2312" w:eastAsia="仿宋_GB2312"/>
          <w:sz w:val="30"/>
          <w:szCs w:val="30"/>
        </w:rPr>
      </w:pPr>
      <w:r>
        <w:rPr>
          <w:rFonts w:hint="eastAsia" w:ascii="仿宋_GB2312" w:eastAsia="仿宋_GB2312"/>
          <w:sz w:val="30"/>
          <w:szCs w:val="30"/>
        </w:rPr>
        <w:t>2.政务网账号登录后，无法自动跳转回到管理平台。一般是因为政务网由支付宝登录需经过授权，或者政务网要求该账号进行信息完善或认证，如图：</w:t>
      </w:r>
    </w:p>
    <w:p>
      <w:pPr>
        <w:spacing w:line="540" w:lineRule="exact"/>
        <w:ind w:firstLine="596" w:firstLineChars="198"/>
        <w:outlineLvl w:val="0"/>
        <w:rPr>
          <w:rFonts w:ascii="仿宋_GB2312" w:hAnsi="宋体" w:eastAsia="仿宋_GB2312" w:cs="宋体"/>
          <w:b/>
          <w:bCs/>
          <w:sz w:val="30"/>
          <w:szCs w:val="30"/>
        </w:rPr>
      </w:pPr>
      <w:r>
        <w:rPr>
          <w:rFonts w:hint="eastAsia" w:ascii="仿宋_GB2312" w:eastAsia="仿宋_GB2312"/>
          <w:b/>
          <w:bCs/>
          <w:color w:val="0000FF"/>
          <w:sz w:val="30"/>
          <w:szCs w:val="30"/>
        </w:rPr>
        <w:t>解决方法</w:t>
      </w:r>
      <w:r>
        <w:rPr>
          <w:rFonts w:hint="eastAsia" w:ascii="仿宋_GB2312" w:eastAsia="仿宋_GB2312"/>
          <w:sz w:val="30"/>
          <w:szCs w:val="30"/>
        </w:rPr>
        <w:t>：确认政务网账号已登录后，重新打开继续教育管理平台的网址，再点击前往政务网登录，即可自动登录管理平台进行管理平台的信息完善和报名。</w:t>
      </w:r>
    </w:p>
    <w:p>
      <w:pPr>
        <w:spacing w:line="360" w:lineRule="auto"/>
        <w:outlineLvl w:val="0"/>
      </w:pPr>
      <w:r>
        <w:rPr>
          <w:rFonts w:ascii="宋体" w:hAnsi="宋体" w:eastAsia="宋体" w:cs="宋体"/>
          <w:sz w:val="24"/>
          <w:szCs w:val="24"/>
        </w:rPr>
        <w:drawing>
          <wp:inline distT="0" distB="0" distL="114300" distR="114300">
            <wp:extent cx="5737225" cy="3174365"/>
            <wp:effectExtent l="0" t="0" r="15875" b="6985"/>
            <wp:docPr id="3"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IMG_256"/>
                    <pic:cNvPicPr>
                      <a:picLocks noChangeAspect="1"/>
                    </pic:cNvPicPr>
                  </pic:nvPicPr>
                  <pic:blipFill>
                    <a:blip r:embed="rId22"/>
                    <a:stretch>
                      <a:fillRect/>
                    </a:stretch>
                  </pic:blipFill>
                  <pic:spPr>
                    <a:xfrm>
                      <a:off x="0" y="0"/>
                      <a:ext cx="5737225" cy="3174365"/>
                    </a:xfrm>
                    <a:prstGeom prst="rect">
                      <a:avLst/>
                    </a:prstGeom>
                    <a:noFill/>
                    <a:ln w="9525">
                      <a:noFill/>
                    </a:ln>
                  </pic:spPr>
                </pic:pic>
              </a:graphicData>
            </a:graphic>
          </wp:inline>
        </w:drawing>
      </w:r>
    </w:p>
    <w:p>
      <w:bookmarkStart w:id="1" w:name="_GoBack"/>
      <w:bookmarkEnd w:id="1"/>
    </w:p>
    <w:sectPr>
      <w:footerReference r:id="rId3" w:type="default"/>
      <w:footerReference r:id="rId4" w:type="even"/>
      <w:pgSz w:w="11906" w:h="16838"/>
      <w:pgMar w:top="1758" w:right="1418" w:bottom="1758" w:left="1418" w:header="851" w:footer="1418"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0000000000000000000"/>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方正小标宋简体">
    <w:panose1 w:val="02010601030101010101"/>
    <w:charset w:val="86"/>
    <w:family w:val="script"/>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right="180"/>
      <w:jc w:val="right"/>
      <w:rPr>
        <w:rFonts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lang w:val="zh-CN"/>
      </w:rPr>
      <w:t>-</w:t>
    </w:r>
    <w:r>
      <w:rPr>
        <w:rFonts w:ascii="宋体" w:hAnsi="宋体" w:eastAsia="宋体"/>
        <w:sz w:val="28"/>
        <w:szCs w:val="28"/>
      </w:rPr>
      <w:t xml:space="preserve"> 6 -</w:t>
    </w:r>
    <w:r>
      <w:rPr>
        <w:rFonts w:ascii="宋体" w:hAnsi="宋体" w:eastAsia="宋体"/>
        <w:sz w:val="28"/>
        <w:szCs w:val="28"/>
      </w:rPr>
      <w:fldChar w:fldCharType="end"/>
    </w:r>
  </w:p>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right="360"/>
      <w:rPr>
        <w:rFonts w:ascii="宋体" w:hAnsi="宋体" w:eastAsia="宋体"/>
      </w:rPr>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lang w:val="zh-CN"/>
      </w:rPr>
      <w:t>-</w:t>
    </w:r>
    <w:r>
      <w:rPr>
        <w:rFonts w:ascii="宋体" w:hAnsi="宋体" w:eastAsia="宋体"/>
        <w:sz w:val="28"/>
        <w:szCs w:val="28"/>
      </w:rPr>
      <w:t xml:space="preserve"> 24 -</w:t>
    </w:r>
    <w:r>
      <w:rPr>
        <w:rFonts w:ascii="宋体" w:hAnsi="宋体" w:eastAsia="宋体"/>
        <w:sz w:val="28"/>
        <w:szCs w:val="28"/>
      </w:rPr>
      <w:fldChar w:fldCharType="end"/>
    </w:r>
  </w:p>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8"/>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F1535B"/>
    <w:rsid w:val="000B7CF9"/>
    <w:rsid w:val="00196ECC"/>
    <w:rsid w:val="002F5359"/>
    <w:rsid w:val="00493D8D"/>
    <w:rsid w:val="004E4D15"/>
    <w:rsid w:val="005876D0"/>
    <w:rsid w:val="005972C7"/>
    <w:rsid w:val="00600601"/>
    <w:rsid w:val="006548D4"/>
    <w:rsid w:val="0087138E"/>
    <w:rsid w:val="009D68CF"/>
    <w:rsid w:val="00D36F3D"/>
    <w:rsid w:val="00F1535B"/>
    <w:rsid w:val="09D8137A"/>
    <w:rsid w:val="0B53430E"/>
    <w:rsid w:val="277A08DC"/>
    <w:rsid w:val="3E9B314E"/>
    <w:rsid w:val="582D3DB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w:basedOn w:val="1"/>
    <w:unhideWhenUsed/>
    <w:qFormat/>
    <w:uiPriority w:val="99"/>
    <w:pPr>
      <w:spacing w:after="120"/>
    </w:pPr>
  </w:style>
  <w:style w:type="paragraph" w:styleId="3">
    <w:name w:val="footer"/>
    <w:basedOn w:val="1"/>
    <w:unhideWhenUsed/>
    <w:qFormat/>
    <w:uiPriority w:val="99"/>
    <w:pPr>
      <w:tabs>
        <w:tab w:val="center" w:pos="4153"/>
        <w:tab w:val="right" w:pos="8306"/>
      </w:tabs>
      <w:snapToGrid w:val="0"/>
      <w:jc w:val="left"/>
    </w:pPr>
    <w:rPr>
      <w:sz w:val="18"/>
      <w:szCs w:val="18"/>
    </w:rPr>
  </w:style>
  <w:style w:type="paragraph" w:styleId="4">
    <w:name w:val="header"/>
    <w:basedOn w:val="1"/>
    <w:link w:val="10"/>
    <w:semiHidden/>
    <w:unhideWhenUsed/>
    <w:uiPriority w:val="99"/>
    <w:pPr>
      <w:pBdr>
        <w:bottom w:val="single" w:color="auto" w:sz="6" w:space="1"/>
      </w:pBdr>
      <w:tabs>
        <w:tab w:val="center" w:pos="4153"/>
        <w:tab w:val="right" w:pos="8306"/>
      </w:tabs>
      <w:snapToGrid w:val="0"/>
      <w:jc w:val="center"/>
    </w:pPr>
    <w:rPr>
      <w:sz w:val="18"/>
      <w:szCs w:val="18"/>
    </w:rPr>
  </w:style>
  <w:style w:type="paragraph" w:styleId="5">
    <w:name w:val="Body Text First Indent"/>
    <w:basedOn w:val="2"/>
    <w:unhideWhenUsed/>
    <w:uiPriority w:val="99"/>
    <w:pPr>
      <w:spacing w:before="120" w:after="240"/>
      <w:ind w:left="100" w:leftChars="100" w:firstLine="420" w:firstLineChars="100"/>
    </w:pPr>
    <w:rPr>
      <w:rFonts w:ascii="等线" w:hAnsi="等线" w:eastAsia="等线" w:cs="Times New Roman"/>
    </w:rPr>
  </w:style>
  <w:style w:type="character" w:styleId="8">
    <w:name w:val="Strong"/>
    <w:basedOn w:val="7"/>
    <w:qFormat/>
    <w:uiPriority w:val="22"/>
    <w:rPr>
      <w:b/>
    </w:rPr>
  </w:style>
  <w:style w:type="paragraph" w:customStyle="1" w:styleId="9">
    <w:name w:val="_Style 3"/>
    <w:basedOn w:val="1"/>
    <w:qFormat/>
    <w:uiPriority w:val="99"/>
    <w:pPr>
      <w:ind w:firstLine="420" w:firstLineChars="200"/>
    </w:pPr>
  </w:style>
  <w:style w:type="character" w:customStyle="1" w:styleId="10">
    <w:name w:val="页眉 Char"/>
    <w:basedOn w:val="7"/>
    <w:link w:val="4"/>
    <w:semiHidden/>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25</Pages>
  <Words>1048</Words>
  <Characters>5975</Characters>
  <Lines>49</Lines>
  <Paragraphs>14</Paragraphs>
  <TotalTime>24</TotalTime>
  <ScaleCrop>false</ScaleCrop>
  <LinksUpToDate>false</LinksUpToDate>
  <CharactersWithSpaces>7009</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2021-04-06T03:20:00Z</dcterms:created>
  <dc:creator>施 佾明</dc:creator>
  <cp:lastModifiedBy>admin</cp:lastModifiedBy>
  <cp:lastPrinted>2021-06-09T09:25:00Z</cp:lastPrinted>
  <dcterms:modified xsi:type="dcterms:W3CDTF">2021-07-22T06:56:55Z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2EF6CCC230524D38AB8CA0E4F930B585</vt:lpwstr>
  </property>
</Properties>
</file>