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4"/>
          <w:lang w:eastAsia="zh-CN" w:bidi="ar"/>
        </w:rPr>
        <w:t>安徽建筑大学城市建设学院</w:t>
      </w:r>
      <w:r>
        <w:rPr>
          <w:rFonts w:hint="eastAsia" w:ascii="宋体" w:hAnsi="宋体" w:cs="宋体"/>
          <w:b/>
          <w:color w:val="000000"/>
          <w:kern w:val="0"/>
          <w:sz w:val="24"/>
          <w:lang w:bidi="ar"/>
        </w:rPr>
        <w:t>参加安徽省第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 w:bidi="ar"/>
        </w:rPr>
        <w:t>六</w:t>
      </w:r>
      <w:r>
        <w:rPr>
          <w:rFonts w:hint="eastAsia" w:ascii="宋体" w:hAnsi="宋体" w:cs="宋体"/>
          <w:b/>
          <w:color w:val="000000"/>
          <w:kern w:val="0"/>
          <w:sz w:val="24"/>
          <w:lang w:bidi="ar"/>
        </w:rPr>
        <w:t>届大学生艺术展演活动任务分解表（校内展演活动安排）</w:t>
      </w:r>
    </w:p>
    <w:p>
      <w:pPr>
        <w:rPr>
          <w:rFonts w:hint="eastAsia" w:ascii="宋体" w:hAnsi="宋体" w:cs="宋体"/>
          <w:b/>
          <w:color w:val="000000"/>
          <w:kern w:val="0"/>
          <w:sz w:val="24"/>
          <w:lang w:bidi="ar"/>
        </w:rPr>
      </w:pPr>
    </w:p>
    <w:tbl>
      <w:tblPr>
        <w:tblStyle w:val="2"/>
        <w:tblpPr w:leftFromText="180" w:rightFromText="180" w:vertAnchor="page" w:horzAnchor="margin" w:tblpXSpec="center" w:tblpY="24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36"/>
        <w:gridCol w:w="3606"/>
        <w:gridCol w:w="1610"/>
        <w:gridCol w:w="2230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对象</w:t>
            </w:r>
          </w:p>
        </w:tc>
        <w:tc>
          <w:tcPr>
            <w:tcW w:w="3606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活动形式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分组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责任单位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艺术表演类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全日制在校学生</w:t>
            </w:r>
          </w:p>
        </w:tc>
        <w:tc>
          <w:tcPr>
            <w:tcW w:w="360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声乐、器乐、舞蹈、戏剧和朗诵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甲组（非艺术类专业学生）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团委、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各系团总支</w:t>
            </w:r>
          </w:p>
        </w:tc>
        <w:tc>
          <w:tcPr>
            <w:tcW w:w="28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月---20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第一阶段（20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1日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至20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25日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各系团总支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、相关部门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开展活动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和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学校组织集中展演阶段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阶段（20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27日-2020年10月10日</w:t>
            </w:r>
            <w:r>
              <w:rPr>
                <w:rFonts w:ascii="宋体" w:hAnsi="宋体"/>
                <w:szCs w:val="21"/>
              </w:rPr>
              <w:t>）为</w:t>
            </w: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  <w:r>
              <w:rPr>
                <w:rFonts w:ascii="宋体" w:hAnsi="宋体"/>
                <w:szCs w:val="21"/>
              </w:rPr>
              <w:t>总结报送节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目和作品阶段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</w:p>
        </w:tc>
        <w:tc>
          <w:tcPr>
            <w:tcW w:w="1236" w:type="dxa"/>
            <w:vMerge w:val="continue"/>
            <w:noWrap w:val="0"/>
            <w:vAlign w:val="top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3606" w:type="dxa"/>
            <w:vMerge w:val="continue"/>
            <w:noWrap w:val="0"/>
            <w:vAlign w:val="top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乙组（艺术类专业学生）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无</w:t>
            </w: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艺术作品类（学生）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全日制在校学生</w:t>
            </w:r>
          </w:p>
        </w:tc>
        <w:tc>
          <w:tcPr>
            <w:tcW w:w="360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绘画、书法、篆刻、摄影、设计、微电影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甲组（非艺术类专业学生）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团委、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各系团总支</w:t>
            </w: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</w:p>
        </w:tc>
        <w:tc>
          <w:tcPr>
            <w:tcW w:w="1236" w:type="dxa"/>
            <w:vMerge w:val="continue"/>
            <w:noWrap w:val="0"/>
            <w:vAlign w:val="top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3606" w:type="dxa"/>
            <w:vMerge w:val="continue"/>
            <w:noWrap w:val="0"/>
            <w:vAlign w:val="top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乙组（艺术类专业学生）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建筑与艺术系团总支（环境与艺术设计专业）</w:t>
            </w: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艺术作品类（高校校长书画摄影作品）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党政领导干部</w:t>
            </w:r>
          </w:p>
        </w:tc>
        <w:tc>
          <w:tcPr>
            <w:tcW w:w="36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绘画、书法、篆刻、摄影作品</w:t>
            </w:r>
          </w:p>
        </w:tc>
        <w:tc>
          <w:tcPr>
            <w:tcW w:w="1610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团委</w:t>
            </w: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大学生艺术实践工作坊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全日制在校学生</w:t>
            </w:r>
          </w:p>
        </w:tc>
        <w:tc>
          <w:tcPr>
            <w:tcW w:w="360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工作坊围绕“艺术与科技”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“艺术与校园”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“艺术与生活”“艺术与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美丽乡村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个项目开展活动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甲组（非艺术类专业学生）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团委、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各系团总支</w:t>
            </w: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</w:p>
        </w:tc>
        <w:tc>
          <w:tcPr>
            <w:tcW w:w="1236" w:type="dxa"/>
            <w:vMerge w:val="continue"/>
            <w:noWrap w:val="0"/>
            <w:vAlign w:val="top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3606" w:type="dxa"/>
            <w:vMerge w:val="continue"/>
            <w:noWrap w:val="0"/>
            <w:vAlign w:val="top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乙组（艺术类专业学生）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高校美育改革创新优秀案例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教师和管理人员</w:t>
            </w:r>
          </w:p>
        </w:tc>
        <w:tc>
          <w:tcPr>
            <w:tcW w:w="36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含</w:t>
            </w:r>
            <w:r>
              <w:rPr>
                <w:rFonts w:hint="eastAsia"/>
                <w:sz w:val="18"/>
                <w:szCs w:val="21"/>
              </w:rPr>
              <w:t>高校美育教师队伍建设、高校公共艺术课程建设与教学改革、高校专业艺术人才培养模式改革创新、高校艺术师范教育教学改革等方面</w:t>
            </w:r>
          </w:p>
        </w:tc>
        <w:tc>
          <w:tcPr>
            <w:tcW w:w="1610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widowControl/>
              <w:snapToGrid w:val="0"/>
              <w:spacing w:line="240" w:lineRule="auto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院团委、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各系团总支</w:t>
            </w: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rPr>
          <w:rFonts w:hint="eastAsia" w:ascii="宋体" w:hAnsi="宋体" w:cs="宋体"/>
          <w:b/>
          <w:color w:val="000000"/>
          <w:kern w:val="0"/>
          <w:sz w:val="24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42CDD"/>
    <w:rsid w:val="261A2D98"/>
    <w:rsid w:val="26283CA1"/>
    <w:rsid w:val="2F92346B"/>
    <w:rsid w:val="3C5A4041"/>
    <w:rsid w:val="7051609C"/>
    <w:rsid w:val="77A22E0B"/>
    <w:rsid w:val="784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mayn</cp:lastModifiedBy>
  <cp:lastPrinted>2020-07-06T08:29:08Z</cp:lastPrinted>
  <dcterms:modified xsi:type="dcterms:W3CDTF">2020-07-06T08:29:44Z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