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附件5</w:t>
      </w:r>
    </w:p>
    <w:p>
      <w:pPr>
        <w:spacing w:after="120" w:afterLines="50" w:line="56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安徽省第六届大学生艺术展演活动</w:t>
      </w:r>
    </w:p>
    <w:p>
      <w:pPr>
        <w:spacing w:after="120" w:afterLines="50" w:line="56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高校美育改革创新优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秀案例代码说明</w:t>
      </w:r>
    </w:p>
    <w:p>
      <w:pPr>
        <w:spacing w:after="120" w:afterLines="50" w:line="560" w:lineRule="exact"/>
        <w:jc w:val="both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</w:p>
    <w:p>
      <w:pPr>
        <w:spacing w:line="300" w:lineRule="auto"/>
        <w:ind w:firstLine="640" w:firstLineChars="200"/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1.地区代码</w:t>
      </w: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</w:rPr>
        <w:t>（第1、2位）</w:t>
      </w:r>
    </w:p>
    <w:p>
      <w:pPr>
        <w:spacing w:line="300" w:lineRule="auto"/>
        <w:ind w:firstLine="1881" w:firstLineChars="588"/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</w:rPr>
        <w:t>安徽省：22</w:t>
      </w:r>
    </w:p>
    <w:p>
      <w:pPr>
        <w:spacing w:line="300" w:lineRule="auto"/>
        <w:ind w:firstLine="640" w:firstLineChars="200"/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2.案例类别代码</w:t>
      </w: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</w:rPr>
        <w:t>（第3、4位）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9"/>
        <w:gridCol w:w="16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5389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highlight w:val="yellow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t>高校美育教师队伍建设</w:t>
            </w:r>
          </w:p>
        </w:tc>
        <w:tc>
          <w:tcPr>
            <w:tcW w:w="168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5389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t>高校公共艺术课程建设与教学改革</w:t>
            </w:r>
          </w:p>
        </w:tc>
        <w:tc>
          <w:tcPr>
            <w:tcW w:w="168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t>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5389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t>高校专业艺术人才培养模式改革创新</w:t>
            </w:r>
          </w:p>
        </w:tc>
        <w:tc>
          <w:tcPr>
            <w:tcW w:w="168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t>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5389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t>高校艺术师范教育教学改革</w:t>
            </w:r>
          </w:p>
        </w:tc>
        <w:tc>
          <w:tcPr>
            <w:tcW w:w="168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t>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5389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t>高校中华优秀传统文化艺术传承创新</w:t>
            </w:r>
          </w:p>
        </w:tc>
        <w:tc>
          <w:tcPr>
            <w:tcW w:w="168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t>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5389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t>高校学生艺术社团及实践工作坊建设</w:t>
            </w:r>
          </w:p>
        </w:tc>
        <w:tc>
          <w:tcPr>
            <w:tcW w:w="168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5389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t>协同育人机制构建</w:t>
            </w:r>
          </w:p>
        </w:tc>
        <w:tc>
          <w:tcPr>
            <w:tcW w:w="168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t>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5389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t>高校校园文化环境育人</w:t>
            </w:r>
          </w:p>
        </w:tc>
        <w:tc>
          <w:tcPr>
            <w:tcW w:w="168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t>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5389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t>高校美育服务社会路径及实施</w:t>
            </w:r>
          </w:p>
        </w:tc>
        <w:tc>
          <w:tcPr>
            <w:tcW w:w="168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t>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5389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t>高校美育保障机制构建</w:t>
            </w:r>
          </w:p>
        </w:tc>
        <w:tc>
          <w:tcPr>
            <w:tcW w:w="168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5389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t>高校美育评价体系建设</w:t>
            </w:r>
          </w:p>
        </w:tc>
        <w:tc>
          <w:tcPr>
            <w:tcW w:w="168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t>11</w:t>
            </w:r>
          </w:p>
        </w:tc>
      </w:tr>
    </w:tbl>
    <w:p>
      <w:pPr>
        <w:widowControl/>
        <w:spacing w:line="0" w:lineRule="atLeast"/>
        <w:rPr>
          <w:rFonts w:hint="eastAsia" w:ascii="宋体" w:hAnsi="宋体" w:cs="宋体"/>
          <w:kern w:val="0"/>
          <w:szCs w:val="21"/>
        </w:rPr>
      </w:pPr>
    </w:p>
    <w:p>
      <w:pPr>
        <w:spacing w:after="120" w:afterLines="50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sectPr>
          <w:pgSz w:w="11906" w:h="16838"/>
          <w:pgMar w:top="2041" w:right="1531" w:bottom="1701" w:left="1531" w:header="851" w:footer="992" w:gutter="0"/>
          <w:pgNumType w:fmt="numberInDash"/>
          <w:cols w:space="720" w:num="1"/>
        </w:sect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</w:rPr>
        <w:t>说明：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论文代码由以上4位数字和字母构成。例如：安徽省某高校申报高校美育保障机制构建的案例，代码为2210；安徽省某高校申报协同育人机制构建的案例，代码为2207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D549CC"/>
    <w:rsid w:val="2BEB051B"/>
    <w:rsid w:val="2FEB364B"/>
    <w:rsid w:val="38F63550"/>
    <w:rsid w:val="3E012FF1"/>
    <w:rsid w:val="41910D3F"/>
    <w:rsid w:val="53AD7C29"/>
    <w:rsid w:val="76F06783"/>
    <w:rsid w:val="7B350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一棵小小的草</cp:lastModifiedBy>
  <dcterms:modified xsi:type="dcterms:W3CDTF">2020-07-06T07:00:27Z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